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CARAMEL #EU11062F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EU11062F_10%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4.09 – 8.179</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0.04 – 0.08</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60F6CE2E">
            <w:pPr>
              <w:pStyle w:val="SDSTableTextNormal"/>
              <w:rPr>
                <w:noProof w:val="0"/>
              </w:rPr>
            </w:pPr>
            <w:r w:rsidRPr="00E158AE">
              <w:rPr>
                <w:noProof/>
              </w:rPr>
              <w:t>Flam. Liq. 2, H225</w:t>
              <w:br/>
              <w:t>STOT SE 3, H336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AGW (OEL TWA) [1]</w:t>
            </w:r>
          </w:p>
        </w:tc>
        <w:tc>
          <w:tcPr>
            <w:tcW w:w="6521" w:type="dxa"/>
          </w:tcPr>
          <w:p w:rsidR="000251E6" w:rsidRPr="00E158AE" w:rsidP="00FB22E1" w14:paraId="7F8A1D5B"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480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CARAMEL #EU11062F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CARAMEL #EU11062F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acetyl propionyl ; Isobutyl acetate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acetyl propionyl ; Isobutyl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CARAMEL #EU11062F 10%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acetyl propionyl ; Isobutyl acetate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CARAMEL #EU11062F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CARAMEL #EU11062F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B04D77C-F87C-4B79-9B10-11501CBA13B8}"/>
</file>

<file path=customXml/itemProps3.xml><?xml version="1.0" encoding="utf-8"?>
<ds:datastoreItem xmlns:ds="http://schemas.openxmlformats.org/officeDocument/2006/customXml" ds:itemID="{3DD023C3-EE28-4AA9-ACA2-6850E5911FCA}"/>
</file>

<file path=customXml/itemProps4.xml><?xml version="1.0" encoding="utf-8"?>
<ds:datastoreItem xmlns:ds="http://schemas.openxmlformats.org/officeDocument/2006/customXml" ds:itemID="{B99AEE4C-9D55-4D84-B4E7-EED01C898A1E}"/>
</file>

<file path=docProps/app.xml><?xml version="1.0" encoding="utf-8"?>
<Properties xmlns="http://schemas.openxmlformats.org/officeDocument/2006/extended-properties" xmlns:vt="http://schemas.openxmlformats.org/officeDocument/2006/docPropsVTypes">
  <Template>Normal.dotm</Template>
  <TotalTime>39</TotalTime>
  <Pages>15</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