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PERFECTLY PUMPKIN #EU13513F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EU13513F_5%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Eugenol, Cinnamic aldehyde, COUMARIN.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1.375 – 2.75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0.425375 – 0.851875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0.158125 – 0.32</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0.09500075 – 0.1900015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0.0005 – 0.00265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0.0005 – 0.00265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0.00025 – 0.00115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0.00005 – 0.0005</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 [ppm]</w:t>
            </w:r>
          </w:p>
        </w:tc>
        <w:tc>
          <w:tcPr>
            <w:tcW w:w="6521" w:type="dxa"/>
          </w:tcPr>
          <w:p w:rsidR="000251E6" w:rsidRPr="00E158AE" w:rsidP="00FB22E1" w14:paraId="7F8A1D5B"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PERFECTLY PUMPKIN #EU13513F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PERFECTLY PUMPKIN #EU13513F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d-Limonene ; p-Cymene ; Eugenol ; Cinnamic aldehyde ; Benzyl alcohol ; acetyl propionyl ; Benzaldehyde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PERFECTLY PUMPKIN #EU13513F 5% ; d-Limonene ; p-Cymene ; Cinnamic 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Eugenol, Cinnamic aldehyde, COUMARIN.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PERFECTLY PUMPKIN #EU13513F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PERFECTLY PUMPKIN #EU13513F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