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MULLED WINE #EU16611F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EU16611F_25%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sensitization,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Aldehyde C-16</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5.325 – 10.6625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1.75 – 3.5</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anthranilate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134-20-3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205-132-4</w:t>
            </w:r>
          </w:p>
        </w:tc>
        <w:tc>
          <w:tcPr>
            <w:tcW w:w="1134" w:type="dxa"/>
          </w:tcPr>
          <w:p w:rsidR="00827634" w:rsidRPr="00E158AE" w:rsidP="009B0F88" w14:textId="5180E34A">
            <w:pPr>
              <w:pStyle w:val="SDSTableTextNormal"/>
              <w:rPr>
                <w:noProof w:val="0"/>
              </w:rPr>
            </w:pPr>
            <w:r w:rsidR="00066C34">
              <w:rPr>
                <w:noProof/>
              </w:rPr>
              <w:t>1.5 – 3</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Dimethylbenzyl carbinyl acetate(DMBCA)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151-05-3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205-781-3</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0.325 – 0.625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0.275 – 0.55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0.05 – 0.075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 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Oxidizing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Explosion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anthranilate (134-20-3)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2910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2780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5000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Dimethylbenzyl carbinyl acetate(DMBCA) (151-05-3)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3300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 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MULLED WINE #EU16611F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MULLED WINE #EU16611F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anthranilate (134-20-3)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2.17 (at 22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Dimethylbenzyl carbinyl acetate(DMBCA) (151-05-3)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3.64 (at 25 °C (at pH &gt;6-&lt;7)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 (Hexamethylindanopyran)</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 (Hexamethylindanopyran)</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(Hexamethylindanopyran),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(Hexamethylindanopyran),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(Hexamethylindanopyran),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(Hexamethylindanopyran),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(Hexamethylindanopyran),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3(c)</w:t>
            </w:r>
          </w:p>
        </w:tc>
        <w:tc>
          <w:tcPr>
            <w:tcW w:w="946" w:type="pct"/>
          </w:tcPr>
          <w:p w:rsidR="00A65092" w:rsidRPr="00E158AE" w:rsidP="00372201" w14:paraId="4FFDF545" w14:textId="65E103D2">
            <w:pPr>
              <w:pStyle w:val="SDSTableTextNormal"/>
              <w:rPr>
                <w:noProof w:val="0"/>
              </w:rPr>
            </w:pPr>
            <w:r w:rsidRPr="00E158AE">
              <w:rPr>
                <w:noProof/>
              </w:rPr>
              <w:t>MULLED WINE #EU16611F 25% ; Benzyl benzoate ; Aldehyde C-16 ; Dimethylbenzyl carbinyl acetate(DMBCA) ; Hexamethylindanopyran ; Benzyl acetate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MULLED WINE #EU16611F 25% ; Benzyl benzoate ; Aldehyde C-16 ; methyl anthranilate ; Benzyl alcohol ; Benzaldehyde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Professional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r>
            <w:rPr>
              <w:noProof/>
            </w:rPr>
            <w:t>10/2/2023 (Issue date)</w:t>
          </w: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r>
            <w:rPr>
              <w:noProof/>
            </w:rPr>
            <w:t>10/2/2023 (Issue date)</w:t>
          </w: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MULLED WINE #EU16611F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MULLED WINE #EU16611F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821D42" w:rsidRPr="008F5B08" w:rsidP="00FD6B1D" w14:paraId="26293D9C" w14:textId="77777777">
          <w:pPr>
            <w:pStyle w:val="SDSTableTextHeader"/>
          </w:pPr>
          <w:r>
            <w:rPr>
              <w:noProof/>
            </w:rPr>
            <w:t xml:space="preserve">Issue date: 10/2/2023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image" Target="media/image3.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76F1C7A-C39F-4933-AFFD-7958855CEFEC}"/>
</file>

<file path=customXml/itemProps3.xml><?xml version="1.0" encoding="utf-8"?>
<ds:datastoreItem xmlns:ds="http://schemas.openxmlformats.org/officeDocument/2006/customXml" ds:itemID="{ED25531B-7D72-47C7-BE28-BAB9D2BF277E}"/>
</file>

<file path=customXml/itemProps4.xml><?xml version="1.0" encoding="utf-8"?>
<ds:datastoreItem xmlns:ds="http://schemas.openxmlformats.org/officeDocument/2006/customXml" ds:itemID="{968A96F2-FD10-4841-9165-00F7E6010A80}"/>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