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MULLED WINE #EU16611F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EU16611F_5%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1.065 – 2.1325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0.35 – 0.7</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0.065 – 0.125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0.055 – 0.11</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 – 0.015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60F6CE2E">
            <w:pPr>
              <w:pStyle w:val="SDSTableTextNormal"/>
              <w:rPr>
                <w:noProof w:val="0"/>
              </w:rPr>
            </w:pPr>
            <w:r w:rsidR="00066C34">
              <w:rPr>
                <w:noProof/>
              </w:rPr>
              <w:t>Not classified</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MULLED WINE #EU16611F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MULLED WINE #EU16611F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Benzyl benzoate ; Aldehyde C-16 ; Benzyl alcohol ; Benzaldehyde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MULLED WINE #EU16611F 5% ; Benzyl benzoate ; Aldehyde C-16 ; Hexamethylindanopyran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MULLED WINE #EU16611F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MULLED WINE #EU16611F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66A351E-92A6-43EE-A394-41642C66F801}"/>
</file>

<file path=customXml/itemProps3.xml><?xml version="1.0" encoding="utf-8"?>
<ds:datastoreItem xmlns:ds="http://schemas.openxmlformats.org/officeDocument/2006/customXml" ds:itemID="{B6FACA43-B833-451A-888A-1C9AA1D42767}"/>
</file>

<file path=customXml/itemProps4.xml><?xml version="1.0" encoding="utf-8"?>
<ds:datastoreItem xmlns:ds="http://schemas.openxmlformats.org/officeDocument/2006/customXml" ds:itemID="{429D4DB1-06B7-40B5-9B3F-F6800E2DB33B}"/>
</file>

<file path=docProps/app.xml><?xml version="1.0" encoding="utf-8"?>
<Properties xmlns="http://schemas.openxmlformats.org/officeDocument/2006/extended-properties" xmlns:vt="http://schemas.openxmlformats.org/officeDocument/2006/docPropsVTypes">
  <Template>Normal.dotm</Template>
  <TotalTime>39</TotalTime>
  <Pages>14</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