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MULBERRY #EU17711F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EU17711F_10%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Orange oil ; Allyl cyclohexylpropionate; Orange Oil; Aldehyde C-16; Anisyl acetate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1.26 – 2.51324</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1 – 2</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0.45 – 0.9</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cyclohexylpropionate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2705-87-5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220-292-5</w:t>
            </w:r>
          </w:p>
        </w:tc>
        <w:tc>
          <w:tcPr>
            <w:tcW w:w="1134" w:type="dxa"/>
          </w:tcPr>
          <w:p w:rsidR="00827634" w:rsidRPr="00E158AE" w:rsidP="009B0F88" w14:textId="5180E34A">
            <w:pPr>
              <w:pStyle w:val="SDSTableTextNormal"/>
              <w:rPr>
                <w:noProof w:val="0"/>
              </w:rPr>
            </w:pPr>
            <w:r w:rsidR="00066C34">
              <w:rPr>
                <w:noProof/>
              </w:rPr>
              <w:t>0.35 – 0.7</w:t>
            </w:r>
          </w:p>
        </w:tc>
        <w:tc>
          <w:tcPr>
            <w:tcW w:w="3118" w:type="dxa"/>
          </w:tcPr>
          <w:p w:rsidR="00827634" w:rsidRPr="00E158AE" w:rsidP="009B0F88" w14:textId="60F6CE2E">
            <w:pPr>
              <w:pStyle w:val="SDSTableTextNormal"/>
              <w:rPr>
                <w:noProof w:val="0"/>
              </w:rPr>
            </w:pPr>
            <w:r w:rsidRPr="00E158AE">
              <w:rPr>
                <w:noProof/>
              </w:rPr>
              <w:t>Acute Tox. 4 (Oral), H302</w:t>
              <w:br/>
              <w:t>Acute Tox. 4 (Dermal), H312</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104-21-2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203-185-8</w:t>
            </w:r>
          </w:p>
        </w:tc>
        <w:tc>
          <w:tcPr>
            <w:tcW w:w="1134" w:type="dxa"/>
          </w:tcPr>
          <w:p w:rsidR="00827634" w:rsidRPr="00E158AE" w:rsidP="009B0F88" w14:textId="5180E34A">
            <w:pPr>
              <w:pStyle w:val="SDSTableTextNormal"/>
              <w:rPr>
                <w:noProof w:val="0"/>
              </w:rPr>
            </w:pPr>
            <w:r w:rsidR="00066C34">
              <w:rPr>
                <w:noProof/>
              </w:rPr>
              <w:t>0.11 – 0.225</w:t>
            </w:r>
          </w:p>
        </w:tc>
        <w:tc>
          <w:tcPr>
            <w:tcW w:w="3118" w:type="dxa"/>
          </w:tcPr>
          <w:p w:rsidR="00827634" w:rsidRPr="00E158AE" w:rsidP="009B0F88" w14:textId="60F6CE2E">
            <w:pPr>
              <w:pStyle w:val="SDSTableTextNormal"/>
              <w:rPr>
                <w:noProof w:val="0"/>
              </w:rPr>
            </w:pPr>
            <w:r w:rsidRPr="00E158AE">
              <w:rPr>
                <w:noProof/>
              </w:rP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caproate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123-68-2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204-642-4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01-2119983573-26</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0.00086</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0.00021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cyclohexylpropionate (2705-87-5)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585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1600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 xml:space="preserve"> (104-21-2)</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caproate (123-68-2)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820 mg/kg (Source: ECHA_API)</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300 mg/kg bodyweight</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cyclohexylpropionate (2705-87-5)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0.13 mg/l (Exposure time: 96 h - Species: Pimephales promelas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caproate (123-68-2)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0.117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CHRISTMAS MULBERRY #EU17711F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MULBERRY #EU17711F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cyclohexylpropionate (2705-87-5)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4.28 (at 20 °C (at pH 5.3)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 xml:space="preserve"> (104-21-2)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caproate (123-68-2)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3.191 (at 20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Orange Oil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CHRISTMAS MULBERRY #EU17711F 10% in DPG ; benzyl benzoate ; Orange oil  ; benzaldehyde ; Allyl cyclohexylpropionate ; Orange Oil ; Aldehyde C-16 ;  ; Allyl caproate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CHRISTMAS MULBERRY #EU17711F 10% in DPG ; benzyl benzoate ; Orange oil  ; Allyl cyclohexylpropionate ; Orange Oil ; Aldehyde C-16 ; Allyl caproate ; Alcohol C-10</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Orange Oil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CHRISTMAS MULBERRY #EU17711F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CHRISTMAS MULBERRY #EU17711F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D7C17857-F91A-4D5E-A0EF-6EA4AE1EA1C7}"/>
</file>

<file path=customXml/itemProps3.xml><?xml version="1.0" encoding="utf-8"?>
<ds:datastoreItem xmlns:ds="http://schemas.openxmlformats.org/officeDocument/2006/customXml" ds:itemID="{A59D49C9-F236-4CE9-8046-B7267A9C4EF0}"/>
</file>

<file path=customXml/itemProps4.xml><?xml version="1.0" encoding="utf-8"?>
<ds:datastoreItem xmlns:ds="http://schemas.openxmlformats.org/officeDocument/2006/customXml" ds:itemID="{C29FEA10-078C-42F7-AA87-CB7692F7EA8E}"/>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