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CHRISTMAS MULBERRY #EU17711F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EU17711F_25%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2</w:t>
            </w:r>
          </w:p>
        </w:tc>
        <w:tc>
          <w:tcPr>
            <w:tcW w:w="1134" w:type="dxa"/>
          </w:tcPr>
          <w:p w:rsidR="00A23DB5" w:rsidRPr="00E158AE" w:rsidP="009B0F88" w14:textId="1B2CA92F">
            <w:pPr>
              <w:pStyle w:val="SDSTableTextNormal"/>
              <w:rPr>
                <w:noProof w:val="0"/>
              </w:rPr>
            </w:pPr>
            <w:r w:rsidR="00066C34">
              <w:rPr>
                <w:noProof/>
              </w:rPr>
              <w:t>H411</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r w:rsidR="00066C34">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r w:rsidR="00066C34">
              <w:rPr>
                <w:noProof/>
              </w:rPr>
              <w:t>GHS09</w:t>
            </w: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Orange oil ; Allyl cyclohexylpropionate; Orange Oil; Aldehyde C-16; Anisyl acetate</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H411 - Toxic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3.15 – 6.2831</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2.5 – 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Resin acids and Rosin acids, hydrogenated, methyl esters</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8050-15-5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232-476-2</w:t>
            </w:r>
          </w:p>
        </w:tc>
        <w:tc>
          <w:tcPr>
            <w:tcW w:w="1134" w:type="dxa"/>
          </w:tcPr>
          <w:p w:rsidR="00827634" w:rsidRPr="00E158AE" w:rsidP="009B0F88" w14:textId="5180E34A">
            <w:pPr>
              <w:pStyle w:val="SDSTableTextNormal"/>
              <w:rPr>
                <w:noProof w:val="0"/>
              </w:rPr>
            </w:pPr>
            <w:r w:rsidR="00066C34">
              <w:rPr>
                <w:noProof/>
              </w:rPr>
              <w:t>1.2 – 2.3875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1.125 – 2.25</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2(3H)-Furanone, 5-heptyldihydro-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104-67-6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203-225-4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01-2119959333-34</w:t>
            </w:r>
          </w:p>
        </w:tc>
        <w:tc>
          <w:tcPr>
            <w:tcW w:w="1134" w:type="dxa"/>
          </w:tcPr>
          <w:p w:rsidR="00827634" w:rsidRPr="00E158AE" w:rsidP="009B0F88" w14:textId="5180E34A">
            <w:pPr>
              <w:pStyle w:val="SDSTableTextNormal"/>
              <w:rPr>
                <w:noProof w:val="0"/>
              </w:rPr>
            </w:pPr>
            <w:r w:rsidR="00066C34">
              <w:rPr>
                <w:noProof/>
              </w:rPr>
              <w:t>1.125 – 2.25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Allyl cyclohexylpropionate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2705-87-5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220-292-5</w:t>
            </w:r>
          </w:p>
        </w:tc>
        <w:tc>
          <w:tcPr>
            <w:tcW w:w="1134" w:type="dxa"/>
          </w:tcPr>
          <w:p w:rsidR="00827634" w:rsidRPr="00E158AE" w:rsidP="009B0F88" w14:textId="5180E34A">
            <w:pPr>
              <w:pStyle w:val="SDSTableTextNormal"/>
              <w:rPr>
                <w:noProof w:val="0"/>
              </w:rPr>
            </w:pPr>
            <w:r w:rsidR="00066C34">
              <w:rPr>
                <w:noProof/>
              </w:rPr>
              <w:t>0.875 – 1.75</w:t>
            </w:r>
          </w:p>
        </w:tc>
        <w:tc>
          <w:tcPr>
            <w:tcW w:w="3118" w:type="dxa"/>
          </w:tcPr>
          <w:p w:rsidR="00827634" w:rsidRPr="00E158AE" w:rsidP="009B0F88" w14:textId="60F6CE2E">
            <w:pPr>
              <w:pStyle w:val="SDSTableTextNormal"/>
              <w:rPr>
                <w:noProof w:val="0"/>
              </w:rPr>
            </w:pPr>
            <w:r w:rsidRPr="00E158AE">
              <w:rPr>
                <w:noProof/>
              </w:rPr>
              <w:t>Acute Tox. 4 (Oral), H302</w:t>
              <w:br/>
              <w:t>Acute Tox. 4 (Dermal), H312</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Orange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8028-48-6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tc>
        <w:tc>
          <w:tcPr>
            <w:tcW w:w="1134" w:type="dxa"/>
          </w:tcPr>
          <w:p w:rsidR="00827634" w:rsidRPr="00E158AE" w:rsidP="009B0F88" w14:textId="5180E34A">
            <w:pPr>
              <w:pStyle w:val="SDSTableTextNormal"/>
              <w:rPr>
                <w:noProof w:val="0"/>
              </w:rPr>
            </w:pPr>
            <w:r w:rsidR="00066C34">
              <w:rPr>
                <w:noProof/>
              </w:rPr>
              <w:t>0.625 – 1.25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0.375 – 0.75</w:t>
            </w:r>
          </w:p>
        </w:tc>
        <w:tc>
          <w:tcPr>
            <w:tcW w:w="3118" w:type="dxa"/>
          </w:tcPr>
          <w:p w:rsidR="00827634" w:rsidRPr="00E158AE" w:rsidP="009B0F88" w14:textId="60F6CE2E">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104-21-2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203-185-8</w:t>
            </w:r>
          </w:p>
        </w:tc>
        <w:tc>
          <w:tcPr>
            <w:tcW w:w="1134" w:type="dxa"/>
          </w:tcPr>
          <w:p w:rsidR="00827634" w:rsidRPr="00E158AE" w:rsidP="009B0F88" w14:textId="5180E34A">
            <w:pPr>
              <w:pStyle w:val="SDSTableTextNormal"/>
              <w:rPr>
                <w:noProof w:val="0"/>
              </w:rPr>
            </w:pPr>
            <w:r w:rsidR="00066C34">
              <w:rPr>
                <w:noProof/>
              </w:rPr>
              <w:t>0.275 – 0.5625</w:t>
            </w:r>
          </w:p>
        </w:tc>
        <w:tc>
          <w:tcPr>
            <w:tcW w:w="3118" w:type="dxa"/>
          </w:tcPr>
          <w:p w:rsidR="00827634" w:rsidRPr="00E158AE" w:rsidP="009B0F88" w14:textId="60F6CE2E">
            <w:pPr>
              <w:pStyle w:val="SDSTableTextNormal"/>
              <w:rPr>
                <w:noProof w:val="0"/>
              </w:rPr>
            </w:pPr>
            <w:r w:rsidRPr="00E158AE">
              <w:rPr>
                <w:noProof/>
              </w:rP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Allyl caproate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123-68-2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204-642-4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01-2119983573-26</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0.00215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0.000525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0.000025</w:t>
            </w:r>
          </w:p>
        </w:tc>
        <w:tc>
          <w:tcPr>
            <w:tcW w:w="3118" w:type="dxa"/>
          </w:tcPr>
          <w:p w:rsidR="00827634" w:rsidRPr="00E158AE" w:rsidP="009B0F88" w14:textId="60F6CE2E">
            <w:pPr>
              <w:pStyle w:val="SDSTableTextNormal"/>
              <w:rPr>
                <w:noProof w:val="0"/>
              </w:rPr>
            </w:pPr>
            <w:r w:rsidRPr="00E158AE">
              <w:rPr>
                <w:noProof/>
              </w:rPr>
              <w:t>Eye Dam. 1, H318</w:t>
              <w:br/>
              <w:t>Skin Corr. 1C, H314</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Resin acids and Rosin acids, hydrogenated, methyl esters (8050-15-5)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2000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10000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2(3H)-Furanone, 5-heptyldihydro- (104-67-6)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18500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Allyl cyclohexylpropionate (2705-87-5)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585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380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1600 mg/kg (Source: ECHA_API)</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1600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(8028-48-6)</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 xml:space="preserve"> (104-21-2)</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Allyl caproate (123-68-2)</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820 mg/kg (Source: ECHA_API)</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300 mg/kg bodyweight</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3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Toxic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2(3H)-Furanone, 5-heptyldihydro- (104-67-6)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569 mg/l 96 h</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00066C34">
              <w:rPr>
                <w:noProof/>
              </w:rPr>
              <w:t>5.85 mg/l 48 h</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5.94 mg/l 72 h</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Allyl cyclohexylpropionate (2705-87-5)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0.13 mg/l (Exposure time: 96 h - Species: Pimephales promelas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Allyl caproate (123-68-2)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0.117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CHRISTMAS MULBERRY #EU17711F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CHRISTMAS MULBERRY #EU17711F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Resin acids and Rosin acids, hydrogenated, methyl esters (8050-15-5)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6.4 – 7.6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2(3H)-Furanone, 5-heptyldihydro- (104-67-6)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Allyl cyclohexylpropionate (2705-87-5)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4.28 (at 20 °C (at pH 5.3)</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 xml:space="preserve"> (104-21-2)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Allyl caproate (123-68-2)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3.191 (at 20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Orange oil  ; Orange Oil ; 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CHRISTMAS MULBERRY #EU17711F 25% in DPG ; benzyl benzoate ; Orange oil  ; benzaldehyde ; Allyl cyclohexylpropionate ; Orange Oil ; Aldehyde C-16 ;  ; Allyl caproate ; Caproic acid</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CHRISTMAS MULBERRY #EU17711F 25% in DPG ; benzyl benzoate ; Orange oil  ; Resin acids and Rosin acids, hydrogenated, methyl esters ; 2(3H)-Furanone, 5-heptyldihydro- ; Allyl cyclohexylpropionate ; Orange Oil ; Aldehyde C-16 ; Allyl caproate ; Alcohol C-10</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Orange oil  ; Orange Oil ; 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3, Highly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17"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Pr="00E158AE">
              <w:rPr>
                <w:noProof/>
              </w:rPr>
              <w:t>Orange oil ,Resin acids and Rosin acids, hydrogenated, methyl esters,Orange Oil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Pr="00E158AE">
              <w:rPr>
                <w:noProof/>
              </w:rPr>
              <w:t>Orange oil ,Resin acids and Rosin acids, hydrogenated, methyl esters,Orange Oil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CHRISTMAS MULBERRY #EU17711F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CHRISTMAS MULBERRY #EU17711F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4.png"/><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3.png"/><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2.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924580D4-74E0-49B0-A966-E8D314560F60}"/>
</file>

<file path=customXml/itemProps3.xml><?xml version="1.0" encoding="utf-8"?>
<ds:datastoreItem xmlns:ds="http://schemas.openxmlformats.org/officeDocument/2006/customXml" ds:itemID="{65412B67-F653-4239-8B43-9B882D1303DE}"/>
</file>

<file path=customXml/itemProps4.xml><?xml version="1.0" encoding="utf-8"?>
<ds:datastoreItem xmlns:ds="http://schemas.openxmlformats.org/officeDocument/2006/customXml" ds:itemID="{D446775D-749D-4001-AA63-5FBE4E170EC1}"/>
</file>

<file path=docProps/app.xml><?xml version="1.0" encoding="utf-8"?>
<Properties xmlns="http://schemas.openxmlformats.org/officeDocument/2006/extended-properties" xmlns:vt="http://schemas.openxmlformats.org/officeDocument/2006/docPropsVTypes">
  <Template>Normal.dotm</Template>
  <TotalTime>39</TotalTime>
  <Pages>15</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