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MULBERRY #EU17711F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EU17711F_5%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Orange oil ; Allyl cyclohexylpropionate; Orange Oil; Aldehyde C-16; Anisyl acetate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0.63 – 1.25662</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0.225 – 0.45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cyclohexylpropionate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2705-87-5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220-292-5</w:t>
            </w:r>
          </w:p>
        </w:tc>
        <w:tc>
          <w:tcPr>
            <w:tcW w:w="1134" w:type="dxa"/>
          </w:tcPr>
          <w:p w:rsidR="00827634" w:rsidRPr="00E158AE" w:rsidP="009B0F88" w14:textId="5180E34A">
            <w:pPr>
              <w:pStyle w:val="SDSTableTextNormal"/>
              <w:rPr>
                <w:noProof w:val="0"/>
              </w:rPr>
            </w:pPr>
            <w:r w:rsidR="00066C34">
              <w:rPr>
                <w:noProof/>
              </w:rPr>
              <w:t>0.175 – 0.35</w:t>
            </w:r>
          </w:p>
        </w:tc>
        <w:tc>
          <w:tcPr>
            <w:tcW w:w="3118" w:type="dxa"/>
          </w:tcPr>
          <w:p w:rsidR="00827634" w:rsidRPr="00E158AE" w:rsidP="009B0F88" w14:textId="60F6CE2E">
            <w:pPr>
              <w:pStyle w:val="SDSTableTextNormal"/>
              <w:rPr>
                <w:noProof w:val="0"/>
              </w:rPr>
            </w:pPr>
            <w:r w:rsidRPr="00E158AE">
              <w:rPr>
                <w:noProof/>
              </w:rPr>
              <w:t>Acute Tox. 4 (Oral), H302</w:t>
              <w:br/>
              <w:t>Acute Tox. 4 (Dermal), H312</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104-21-2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203-185-8</w:t>
            </w:r>
          </w:p>
        </w:tc>
        <w:tc>
          <w:tcPr>
            <w:tcW w:w="1134" w:type="dxa"/>
          </w:tcPr>
          <w:p w:rsidR="00827634" w:rsidRPr="00E158AE" w:rsidP="009B0F88" w14:textId="5180E34A">
            <w:pPr>
              <w:pStyle w:val="SDSTableTextNormal"/>
              <w:rPr>
                <w:noProof w:val="0"/>
              </w:rPr>
            </w:pPr>
            <w:r w:rsidR="00066C34">
              <w:rPr>
                <w:noProof/>
              </w:rPr>
              <w:t>0.055 – 0.1125</w:t>
            </w:r>
          </w:p>
        </w:tc>
        <w:tc>
          <w:tcPr>
            <w:tcW w:w="3118" w:type="dxa"/>
          </w:tcPr>
          <w:p w:rsidR="00827634" w:rsidRPr="00E158AE" w:rsidP="009B0F88" w14:textId="60F6CE2E">
            <w:pPr>
              <w:pStyle w:val="SDSTableTextNormal"/>
              <w:rPr>
                <w:noProof w:val="0"/>
              </w:rPr>
            </w:pPr>
            <w:r w:rsidRPr="00E158AE">
              <w:rPr>
                <w:noProof/>
              </w:rP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0.00043</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0.000105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cyclohexylpropionate (2705-87-5)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585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1600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 xml:space="preserve"> (104-21-2)</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Allyl cyclohexylpropionate (2705-87-5)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0.13 mg/l (Exposure time: 96 h - Species: Pimephales promelas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CHRISTMAS MULBERRY #EU17711F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MULBERRY #EU17711F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cyclohexylpropionate (2705-87-5)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4.28 (at 20 °C (at pH 5.3)</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 xml:space="preserve"> (104-21-2)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Orange Oil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CHRISTMAS MULBERRY #EU17711F 5% in DPG ; benzyl benzoate ; Orange oil  ; benzaldehyde ; Allyl cyclohexylpropionate ; Orange Oil ; Aldehyde C-16 ;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CHRISTMAS MULBERRY #EU17711F 5% in DPG ; benzyl benzoate ; Orange oil  ; Allyl cyclohexylpropionate ; Orange Oil ; Aldehyde C-16 ; Alcohol C-10</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Orange Oil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CHRISTMAS MULBERRY #EU17711F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CHRISTMAS MULBERRY #EU17711F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0AA6658C-FF18-419D-936F-044B3001B454}"/>
</file>

<file path=customXml/itemProps3.xml><?xml version="1.0" encoding="utf-8"?>
<ds:datastoreItem xmlns:ds="http://schemas.openxmlformats.org/officeDocument/2006/customXml" ds:itemID="{B9DD4459-964E-471F-9126-564569A4B7FB}"/>
</file>

<file path=customXml/itemProps4.xml><?xml version="1.0" encoding="utf-8"?>
<ds:datastoreItem xmlns:ds="http://schemas.openxmlformats.org/officeDocument/2006/customXml" ds:itemID="{05D88D70-56C0-4488-8720-33AB71FAF0C3}"/>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