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Hot Apple Pie #EU2080F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EU2080F_25%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COUMARIN; Eugenol; Cinnamic aldehyde; Methyl cinnamate; Clove Leaf Oil ; Eucalyptus oil</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6.51125 – 13.0225</w:t>
            </w:r>
          </w:p>
        </w:tc>
        <w:tc>
          <w:tcPr>
            <w:tcW w:w="3118" w:type="dxa"/>
          </w:tcPr>
          <w:p w:rsidR="00827634" w:rsidRPr="00E158AE" w:rsidP="009B0F88" w14:paraId="03C690C9"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Verdox</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88-41-5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201-828-7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01-2119970713-33</w:t>
            </w:r>
          </w:p>
        </w:tc>
        <w:tc>
          <w:tcPr>
            <w:tcW w:w="1134" w:type="dxa"/>
          </w:tcPr>
          <w:p w:rsidR="00827634" w:rsidRPr="00E158AE" w:rsidP="009B0F88" w14:textId="5180E34A">
            <w:pPr>
              <w:pStyle w:val="SDSTableTextNormal"/>
              <w:rPr>
                <w:noProof w:val="0"/>
              </w:rPr>
            </w:pPr>
            <w:r w:rsidR="00066C34">
              <w:rPr>
                <w:noProof/>
              </w:rPr>
              <w:t>2.4 – 4.8</w:t>
            </w:r>
          </w:p>
        </w:tc>
        <w:tc>
          <w:tcPr>
            <w:tcW w:w="3118" w:type="dxa"/>
          </w:tcPr>
          <w:p w:rsidR="00827634" w:rsidRPr="00E158AE" w:rsidP="009B0F88" w14:textId="60F6CE2E">
            <w:pPr>
              <w:pStyle w:val="SDSTableTextNormal"/>
              <w:rPr>
                <w:noProof w:val="0"/>
              </w:rPr>
            </w:pPr>
            <w:r w:rsidRPr="00E158AE">
              <w:rPr>
                <w:noProof/>
              </w:rP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Phenylpropyl alcohol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122-97-4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204-587-6</w:t>
            </w:r>
          </w:p>
        </w:tc>
        <w:tc>
          <w:tcPr>
            <w:tcW w:w="1134" w:type="dxa"/>
          </w:tcPr>
          <w:p w:rsidR="00827634" w:rsidRPr="00E158AE" w:rsidP="009B0F88" w14:textId="5180E34A">
            <w:pPr>
              <w:pStyle w:val="SDSTableTextNormal"/>
              <w:rPr>
                <w:noProof w:val="0"/>
              </w:rPr>
            </w:pPr>
            <w:r w:rsidR="00066C34">
              <w:rPr>
                <w:noProof/>
              </w:rPr>
              <w:t>0.7 – 1.4</w:t>
            </w:r>
          </w:p>
        </w:tc>
        <w:tc>
          <w:tcPr>
            <w:tcW w:w="3118" w:type="dxa"/>
          </w:tcPr>
          <w:p w:rsidR="00827634" w:rsidRPr="00E158AE" w:rsidP="009B0F88" w14:textId="60F6CE2E">
            <w:pPr>
              <w:pStyle w:val="SDSTableTextNormal"/>
              <w:rPr>
                <w:noProof w:val="0"/>
              </w:rPr>
            </w:pPr>
            <w:r w:rsidRPr="00E158AE">
              <w:rPr>
                <w:noProof/>
              </w:rP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Diethyl malonate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105-53-3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203-305-9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01-2119886972-18</w:t>
            </w:r>
          </w:p>
        </w:tc>
        <w:tc>
          <w:tcPr>
            <w:tcW w:w="1134" w:type="dxa"/>
          </w:tcPr>
          <w:p w:rsidR="00827634" w:rsidRPr="00E158AE" w:rsidP="009B0F88" w14:textId="5180E34A">
            <w:pPr>
              <w:pStyle w:val="SDSTableTextNormal"/>
              <w:rPr>
                <w:noProof w:val="0"/>
              </w:rPr>
            </w:pPr>
            <w:r w:rsidR="00066C34">
              <w:rPr>
                <w:noProof/>
              </w:rPr>
              <w:t>0.625 – 1.25</w:t>
            </w:r>
          </w:p>
        </w:tc>
        <w:tc>
          <w:tcPr>
            <w:tcW w:w="3118" w:type="dxa"/>
          </w:tcPr>
          <w:p w:rsidR="00827634" w:rsidRPr="00E158AE" w:rsidP="009B0F88" w14:textId="60F6CE2E">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COUMARIN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91-64-5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202-086-7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01-2119943756-26</w:t>
            </w:r>
          </w:p>
        </w:tc>
        <w:tc>
          <w:tcPr>
            <w:tcW w:w="1134" w:type="dxa"/>
          </w:tcPr>
          <w:p w:rsidR="00827634" w:rsidRPr="00E158AE" w:rsidP="009B0F88" w14:textId="5180E34A">
            <w:pPr>
              <w:pStyle w:val="SDSTableTextNormal"/>
              <w:rPr>
                <w:noProof w:val="0"/>
              </w:rPr>
            </w:pPr>
            <w:r w:rsidR="00066C34">
              <w:rPr>
                <w:noProof/>
              </w:rPr>
              <w:t>0.575 – 1.15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Eugenol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97-53-0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202-589-1</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01-2119971802-33</w:t>
            </w:r>
          </w:p>
        </w:tc>
        <w:tc>
          <w:tcPr>
            <w:tcW w:w="1134" w:type="dxa"/>
          </w:tcPr>
          <w:p w:rsidR="00827634" w:rsidRPr="00E158AE" w:rsidP="009B0F88" w14:textId="5180E34A">
            <w:pPr>
              <w:pStyle w:val="SDSTableTextNormal"/>
              <w:rPr>
                <w:noProof w:val="0"/>
              </w:rPr>
            </w:pPr>
            <w:r w:rsidR="00066C34">
              <w:rPr>
                <w:noProof/>
              </w:rPr>
              <w:t>0.5125 – 1.025</w:t>
            </w:r>
          </w:p>
        </w:tc>
        <w:tc>
          <w:tcPr>
            <w:tcW w:w="3118" w:type="dxa"/>
          </w:tcPr>
          <w:p w:rsidR="00827634" w:rsidRPr="00E158AE" w:rsidP="009B0F88" w14:textId="60F6CE2E">
            <w:pPr>
              <w:pStyle w:val="SDSTableTextNormal"/>
              <w:rPr>
                <w:noProof w:val="0"/>
              </w:rPr>
            </w:pPr>
            <w:r w:rsidRPr="00E158AE">
              <w:rPr>
                <w:noProof/>
              </w:rPr>
              <w:t>Acute Tox. 4 (Oral), H302</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paraId="147D3D5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0.225 – 0.45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104-55-2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203-213-9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01-2119935242-45</w:t>
            </w:r>
          </w:p>
        </w:tc>
        <w:tc>
          <w:tcPr>
            <w:tcW w:w="1134" w:type="dxa"/>
          </w:tcPr>
          <w:p w:rsidR="00827634" w:rsidRPr="00E158AE" w:rsidP="009B0F88" w14:textId="5180E34A">
            <w:pPr>
              <w:pStyle w:val="SDSTableTextNormal"/>
              <w:rPr>
                <w:noProof w:val="0"/>
              </w:rPr>
            </w:pPr>
            <w:r w:rsidR="00066C34">
              <w:rPr>
                <w:noProof/>
              </w:rPr>
              <w:t>0.2 – 0.4</w:t>
            </w:r>
          </w:p>
        </w:tc>
        <w:tc>
          <w:tcPr>
            <w:tcW w:w="3118" w:type="dxa"/>
          </w:tcPr>
          <w:p w:rsidR="00827634" w:rsidRPr="00E158AE" w:rsidP="009B0F88" w14:textId="60F6CE2E">
            <w:pPr>
              <w:pStyle w:val="SDSTableTextNormal"/>
              <w:rPr>
                <w:noProof w:val="0"/>
              </w:rPr>
            </w:pPr>
            <w:r w:rsidRPr="00E158AE">
              <w:rPr>
                <w:noProof/>
              </w:rPr>
              <w:t>Acute Tox. 4 (Dermal), H312</w:t>
              <w:b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Methyl cinnamate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103-26-4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203-093-8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01-2119979458-16</w:t>
            </w:r>
          </w:p>
        </w:tc>
        <w:tc>
          <w:tcPr>
            <w:tcW w:w="1134" w:type="dxa"/>
          </w:tcPr>
          <w:p w:rsidR="00827634" w:rsidRPr="00E158AE" w:rsidP="009B0F88" w14:textId="5180E34A">
            <w:pPr>
              <w:pStyle w:val="SDSTableTextNormal"/>
              <w:rPr>
                <w:noProof w:val="0"/>
              </w:rPr>
            </w:pPr>
            <w:r w:rsidR="00066C34">
              <w:rPr>
                <w:noProof/>
              </w:rPr>
              <w:t>0.15 – 0.3</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Clove Leaf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8000-34-8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616-772-2</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60F6CE2E">
            <w:pPr>
              <w:pStyle w:val="SDSTableTextNormal"/>
              <w:rPr>
                <w:noProof w:val="0"/>
              </w:rPr>
            </w:pPr>
            <w:r w:rsidRPr="00E158AE">
              <w:rPr>
                <w:noProof/>
              </w:rPr>
              <w:t>Eye Irrit. 2, H319</w:t>
              <w:br/>
              <w:t>Skin Sens. 1, H317</w:t>
              <w:br/>
              <w:t>Asp. Tox. 1, H304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Eucalyptus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8000-48-4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283-406-2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01-2119978250-37</w:t>
            </w:r>
          </w:p>
        </w:tc>
        <w:tc>
          <w:tcPr>
            <w:tcW w:w="1134" w:type="dxa"/>
          </w:tcPr>
          <w:p w:rsidR="00827634" w:rsidRPr="00E158AE" w:rsidP="009B0F88" w14:textId="5180E34A">
            <w:pPr>
              <w:pStyle w:val="SDSTableTextNormal"/>
              <w:rPr>
                <w:noProof w:val="0"/>
              </w:rPr>
            </w:pPr>
            <w:r w:rsidR="00066C34">
              <w:rPr>
                <w:noProof/>
              </w:rPr>
              <w:t>0.0625 – 0.125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0.0025</w:t>
            </w:r>
          </w:p>
        </w:tc>
        <w:tc>
          <w:tcPr>
            <w:tcW w:w="3118" w:type="dxa"/>
          </w:tcPr>
          <w:p w:rsidR="00827634" w:rsidRPr="00E158AE" w:rsidP="009B0F88" w14:textId="60F6CE2E">
            <w:pPr>
              <w:pStyle w:val="SDSTableTextNormal"/>
              <w:rPr>
                <w:noProof w:val="0"/>
              </w:rPr>
            </w:pPr>
            <w:r w:rsidRPr="00E158AE">
              <w:rPr>
                <w:noProof/>
              </w:rPr>
              <w:t>Aquatic Chronic 3, H412</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Verdox (88-41-5)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4600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Phenylpropyl alcohol (122-97-4)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2250 mg/kg (Source: NICNAS)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2275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&lt; 5000 mg/kg (Source: NICNAS)</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5000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Diethyl malonate (105-53-3)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14900 µl/kg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16960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COUMARIN (91-64-5)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290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293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Eugenol (97-53-0)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1930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Cinnamic aldehyde (104-55-2)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2220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2200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1260 mg/kg (Source: EPA_HPV)</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1100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Methyl cinnamate (103-26-4)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2610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2610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Clove Leaf Oil  (8000-34-8)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1370 mg/kg (Source: NZ_CCID)</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2650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1200 mg/kg (Source: NLM_CIP)</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Eucalyptus oil (8000-48-4)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2480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COUMARIN (91-64-5)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Eugenol (97-53-0)</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Diethyl malonate (105-53-3)</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10.3 – 13.4 mg/l (Exposure time: 96 h - Species: Pimephales promelas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202.3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508.2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Eugenol (97-53-0)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Methyl cinnamate (103-26-4)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2.76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Hot Apple Pie #EU2080F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Methyl cinnamate (103-26-4)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36497CB6">
            <w:pPr>
              <w:pStyle w:val="SDSTableTextNormal"/>
              <w:rPr>
                <w:noProof w:val="0"/>
              </w:rPr>
            </w:pPr>
            <w:r w:rsidR="00066C34">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Eucalyptus oil (8000-48-4)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36497CB6">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Hot Apple Pie #EU2080F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Phenylpropyl alcohol (122-97-4)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 (at 35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Diethyl malonate (105-53-3)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0.96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Eugenol (97-53-0)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1.83 (at 30 °C (at pH 5.5)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Cinnamic aldehyde (104-55-2)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2.1065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Methyl cinnamate (103-26-4)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2.68 (at 25 °C (at pH &gt;4.73-&lt;7.06)</w:t>
            </w:r>
          </w:p>
        </w:tc>
      </w:tr>
      <w:tr w14:paraId="5435E57D" w14:textId="77777777" w:rsidTr="00E85368">
        <w:tblPrEx>
          <w:tblW w:w="10489" w:type="dxa"/>
          <w:tblLayout w:type="fixed"/>
          <w:tblLook w:val="04A0"/>
        </w:tblPrEx>
        <w:tc>
          <w:tcPr>
            <w:tcW w:w="3969" w:type="dxa"/>
          </w:tcPr>
          <w:p w:rsidR="00827634" w:rsidRPr="00E158AE" w:rsidP="009B0F88" w14:textId="1D3E2592">
            <w:pPr>
              <w:pStyle w:val="SDSTableTextNormal"/>
              <w:rPr>
                <w:noProof w:val="0"/>
              </w:rPr>
            </w:pPr>
            <w:r w:rsidR="00066C34">
              <w:rPr>
                <w:noProof/>
              </w:rPr>
              <w:t>Bioaccumulative potential</w:t>
            </w:r>
          </w:p>
        </w:tc>
        <w:tc>
          <w:tcPr>
            <w:tcW w:w="6520" w:type="dxa"/>
          </w:tcPr>
          <w:p w:rsidR="00827634" w:rsidRPr="00E158AE" w:rsidP="009B0F88"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Eucalyptus oil (8000-48-4)</w:t>
            </w:r>
          </w:p>
        </w:tc>
      </w:tr>
      <w:tr w14:paraId="5435E57D" w14:textId="77777777" w:rsidTr="00E85368">
        <w:tblPrEx>
          <w:tblW w:w="10489" w:type="dxa"/>
          <w:tblLayout w:type="fixed"/>
          <w:tblLook w:val="04A0"/>
        </w:tblPrEx>
        <w:tc>
          <w:tcPr>
            <w:tcW w:w="3969" w:type="dxa"/>
          </w:tcPr>
          <w:p w:rsidR="00827634" w:rsidRPr="00E158AE" w:rsidP="009B0F88" w14:textId="1D3E2592">
            <w:pPr>
              <w:pStyle w:val="SDSTableTextNormal"/>
              <w:rPr>
                <w:noProof w:val="0"/>
              </w:rPr>
            </w:pPr>
            <w:r w:rsidR="00066C34">
              <w:rPr>
                <w:noProof/>
              </w:rPr>
              <w:t>Bioaccumulative potential</w:t>
            </w:r>
          </w:p>
        </w:tc>
        <w:tc>
          <w:tcPr>
            <w:tcW w:w="6520" w:type="dxa"/>
          </w:tcPr>
          <w:p w:rsidR="00827634" w:rsidRPr="00E158AE" w:rsidP="009B0F88"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00066C34">
              <w:rPr>
                <w:noProof/>
              </w:rPr>
              <w:t>Eucalyptus oil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Hot Apple Pie #EU2080F 25% ; Benzyl benzoate ; Phenylpropyl alcohol ; Diethyl malonate ; Eugenol ; Cinnamic aldehyde ; Clove Leaf Oil  ; Eucalyptus oil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Hot Apple Pie #EU2080F 25% ; Benzyl benzoate ; Verdox ; Cinnamic aldehyde ; Eucalyptus oil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00066C34">
              <w:rPr>
                <w:noProof/>
              </w:rPr>
              <w:t>Eucalyptus oil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4C4B885B" w14:textId="77777777" w:rsidTr="00917B0A">
        <w:tblPrEx>
          <w:tblW w:w="10491" w:type="dxa"/>
          <w:tblLayout w:type="fixed"/>
          <w:tblLook w:val="04A0"/>
        </w:tblPrEx>
        <w:trPr>
          <w:trHeight w:val="20"/>
        </w:trPr>
        <w:tc>
          <w:tcPr>
            <w:tcW w:w="3686" w:type="dxa"/>
          </w:tcPr>
          <w:p w:rsidR="00A65092" w:rsidP="00372201" w14:paraId="22083A8D" w14:textId="7E143691">
            <w:pPr>
              <w:pStyle w:val="SDSTableTextNormal"/>
              <w:rPr>
                <w:noProof w:val="0"/>
              </w:rPr>
            </w:pPr>
            <w:r w:rsidR="00066C34">
              <w:rPr>
                <w:noProof/>
              </w:rPr>
              <w:t>List of sensitizing substances (TRGS 907)</w:t>
            </w:r>
          </w:p>
        </w:tc>
        <w:tc>
          <w:tcPr>
            <w:tcW w:w="284" w:type="dxa"/>
          </w:tcPr>
          <w:p w:rsidR="00A65092" w:rsidP="00372201" w14:paraId="30BB04E5" w14:textId="77777777">
            <w:pPr>
              <w:pStyle w:val="SDSTableTextColonColumn"/>
              <w:rPr>
                <w:noProof w:val="0"/>
              </w:rPr>
            </w:pPr>
            <w:r>
              <w:rPr>
                <w:noProof w:val="0"/>
              </w:rPr>
              <w:t>:</w:t>
            </w:r>
          </w:p>
        </w:tc>
        <w:tc>
          <w:tcPr>
            <w:tcW w:w="6521" w:type="dxa"/>
          </w:tcPr>
          <w:p w:rsidR="00A65092" w:rsidRPr="00560675" w:rsidP="00372201" w14:paraId="11B79E96" w14:textId="674900F0">
            <w:pPr>
              <w:pStyle w:val="SDSTableTextNormal"/>
              <w:rPr>
                <w:noProof w:val="0"/>
              </w:rPr>
            </w:pPr>
            <w:r w:rsidR="00066C34">
              <w:rPr>
                <w:noProof/>
              </w:rPr>
              <w:t>Contains sensitizing substances according TRGS 907.</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Eucalyptus oil is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Eucalyptus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(Dermal)</w:t>
            </w:r>
          </w:p>
        </w:tc>
        <w:tc>
          <w:tcPr>
            <w:tcW w:w="8504" w:type="dxa"/>
          </w:tcPr>
          <w:p w:rsidR="00827634" w:rsidRPr="00E158AE" w:rsidP="009B0F88" w14:textId="59C420F9">
            <w:pPr>
              <w:pStyle w:val="SDSTableTextNormal"/>
              <w:rPr>
                <w:noProof w:val="0"/>
              </w:rPr>
            </w:pPr>
            <w:r w:rsidRPr="00E158AE">
              <w:rPr>
                <w:noProof/>
              </w:rPr>
              <w:t>Acute toxicity (dermal),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H312</w:t>
            </w:r>
          </w:p>
        </w:tc>
        <w:tc>
          <w:tcPr>
            <w:tcW w:w="8504" w:type="dxa"/>
          </w:tcPr>
          <w:p w:rsidR="00827634" w:rsidRPr="00E158AE" w:rsidP="009B0F88" w14:textId="59C420F9">
            <w:pPr>
              <w:pStyle w:val="SDSTableTextNormal"/>
              <w:rPr>
                <w:noProof w:val="0"/>
              </w:rPr>
            </w:pPr>
            <w:r w:rsidRPr="00E158AE">
              <w:rPr>
                <w:noProof/>
              </w:rPr>
              <w:t>Harmful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Hot Apple Pie #EU2080F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Hot Apple Pie #EU2080F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65C22CF0-D47D-4A4E-8436-60410B8841CB}"/>
</file>

<file path=customXml/itemProps3.xml><?xml version="1.0" encoding="utf-8"?>
<ds:datastoreItem xmlns:ds="http://schemas.openxmlformats.org/officeDocument/2006/customXml" ds:itemID="{682475CA-09AF-4949-AEF3-8C493704B0FA}"/>
</file>

<file path=customXml/itemProps4.xml><?xml version="1.0" encoding="utf-8"?>
<ds:datastoreItem xmlns:ds="http://schemas.openxmlformats.org/officeDocument/2006/customXml" ds:itemID="{73234B5F-D2D2-41DD-9C09-DC330FA6B62A}"/>
</file>

<file path=docProps/app.xml><?xml version="1.0" encoding="utf-8"?>
<Properties xmlns="http://schemas.openxmlformats.org/officeDocument/2006/extended-properties" xmlns:vt="http://schemas.openxmlformats.org/officeDocument/2006/docPropsVTypes">
  <Template>Normal.dotm</Template>
  <TotalTime>39</TotalTime>
  <Pages>14</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