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GINGER COOKIE #EU24263F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EU24263F_25%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CINNAMAL; Heliotropine; Amyl cinnamic aldehyde; Citrus medica limonum (Lemon) peel oil ; COUMARIN; Eugenol; Acetyl Propionyl; Cinnamalva; 1,2-Cyclopentanedione, 3-methyl-; beta-Caryophyllene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8.875 – 17.75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1.25625 – 2.53125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0.65625 – 1.375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0.2000125 – 0.375025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beta-Caryophyllene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87-44-5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201-746-1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01-2120745237-53</w:t>
            </w:r>
          </w:p>
        </w:tc>
        <w:tc>
          <w:tcPr>
            <w:tcW w:w="1134" w:type="dxa"/>
          </w:tcPr>
          <w:p w:rsidR="00827634" w:rsidRPr="00E158AE" w:rsidP="009B0F88" w14:textId="5180E34A">
            <w:pPr>
              <w:pStyle w:val="SDSTableTextNormal"/>
              <w:rPr>
                <w:noProof w:val="0"/>
              </w:rPr>
            </w:pPr>
            <w:r w:rsidR="00066C34">
              <w:rPr>
                <w:noProof/>
              </w:rPr>
              <w:t>0.06875 – 0.1875</w:t>
            </w:r>
          </w:p>
        </w:tc>
        <w:tc>
          <w:tcPr>
            <w:tcW w:w="3118" w:type="dxa"/>
          </w:tcPr>
          <w:p w:rsidR="00827634" w:rsidRPr="00E158AE" w:rsidP="009B0F88" w14:textId="7E488380">
            <w:pPr>
              <w:pStyle w:val="SDSTableTextNormal"/>
              <w:rPr>
                <w:noProof w:val="0"/>
              </w:rPr>
            </w:pPr>
            <w:r w:rsidRPr="00E158AE">
              <w:rPr>
                <w:noProof/>
              </w:rPr>
              <w:t>Asp. Tox. 1, H304</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Cinnamalva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1885-38-7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217-552-5</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Acute Tox. 3 (Oral), H301</w:t>
              <w:br/>
              <w:t>Acute Tox. 4 (Dermal), H312</w:t>
              <w:br/>
              <w:t>Acute Tox. 4 (Inhalation), H332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1,2-Cyclopentanedione, 3-methyl-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765-70-8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212-154-8</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Acute Tox. 4 (Oral), H302</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0.025 – 0.0625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0.0025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0.0025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CINNAMAL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4253" w:type="dxa"/>
          </w:tcPr>
          <w:p w:rsidR="00827634" w:rsidRPr="00E158AE" w:rsidP="009B0F88" w14:paraId="12970379" w14:textId="79A64A3E">
            <w:pPr>
              <w:pStyle w:val="SDSTableTextNormal"/>
              <w:rPr>
                <w:noProof w:val="0"/>
              </w:rPr>
            </w:pPr>
            <w:r w:rsidRPr="00E158AE">
              <w:rPr>
                <w:noProof/>
              </w:rPr>
              <w:t>(0.01 ≤ C &lt; 100) 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CINNAMAL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 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Cinnamalva (1885-38-7)</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 mg/kg body 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 weight</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1,2-Cyclopentanedione, 3-methyl- (765-70-8)</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1067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Not applicable</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GINGER COOKIE #EU24263F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CINNAMAL (104-55-2)</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Heliotropine (120-57-0)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Propionyl (600-14-6)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Cinnamalva (1885-38-7)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1,2-Cyclopentanedione, 3-methyl- (765-70-8)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beta-Caryophyllene (87-44-5)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GINGER COOKIE #EU24263F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CINNAMAL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Cinnamalva (1885-38-7)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beta-Caryophyllene (87-44-5)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6.23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Citrus medica limonum (Lemon) peel oil  ; Acetyl Propionyl ; (R)-p-mentha-1,8-diene, d-limonene ; .beta.-Pinene ; .alpha.-Pinene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GINGER COOKIE #EU24263F 25% in DPG ; CINNAMAL ; benzaldehyde ; Amyl cinnamic aldehyde ; Citrus medica limonum (Lemon) peel oil  ; Eugenol ; Acetyl Propionyl ; Cinnamalva ; benzyl benzoate ; (R)-p-mentha-1,8-diene, d-limonene ; .alpha.-Pinene ; beta-Caryophyllene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GINGER COOKIE #EU24263F 25% in DPG ; CINNAMAL ; Amyl cinnamic aldehyde ; Citrus medica limonum (Lemon) peel oil  ; benzyl benzoate ; (R)-p-mentha-1,8-diene, d-limonene ; .alpha.-Pinene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Citrus medica limonum (Lemon) peel oil  ; Acetyl Propionyl ; (R)-p-mentha-1,8-diene, d-limonene ; .beta.-Pinene ; .alpha.-Pinene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Piperonal</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120-57-0</w:t>
            </w:r>
          </w:p>
        </w:tc>
        <w:tc>
          <w:tcPr>
            <w:tcW w:w="1418" w:type="dxa"/>
          </w:tcPr>
          <w:p w:rsidR="00A65092" w:rsidRPr="00E158AE" w:rsidP="005C557D" w14:paraId="04454755" w14:textId="10FBDA17">
            <w:pPr>
              <w:pStyle w:val="SDSTableTextNormal"/>
              <w:rPr>
                <w:noProof w:val="0"/>
              </w:rPr>
            </w:pPr>
            <w:r w:rsidR="00066C34">
              <w:rPr>
                <w:noProof/>
              </w:rPr>
              <w:t>2932 93 00</w:t>
            </w:r>
          </w:p>
        </w:tc>
        <w:tc>
          <w:tcPr>
            <w:tcW w:w="1418" w:type="dxa"/>
          </w:tcPr>
          <w:p w:rsidR="00A65092" w:rsidRPr="00E158AE" w:rsidP="005C557D" w14:paraId="70CE3A27" w14:textId="0B7AECC5">
            <w:pPr>
              <w:pStyle w:val="SDSTableTextNormal"/>
              <w:rPr>
                <w:noProof w:val="0"/>
              </w:rPr>
            </w:pPr>
            <w:r w:rsidR="00066C34">
              <w:rPr>
                <w:noProof/>
              </w:rPr>
              <w:t>Category 1</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(Oral)</w:t>
            </w:r>
          </w:p>
        </w:tc>
        <w:tc>
          <w:tcPr>
            <w:tcW w:w="8504" w:type="dxa"/>
          </w:tcPr>
          <w:p w:rsidR="00827634" w:rsidRPr="00E158AE" w:rsidP="009B0F88" w14:paraId="553EC3F4"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9/18/2024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9/18/2024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GINGER COOKIE #EU24263F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GINGER COOKIE #EU24263F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9/18/2024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