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MILK &amp; HONEY #EU24302F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EU24302F_10%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Benzyl salicylate; isoeugenol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b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3.25 – 6.49</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0.4 – 0.8</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0.166359 – 0.332718</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7E488380">
            <w:pPr>
              <w:pStyle w:val="SDSTableTextNormal"/>
              <w:rPr>
                <w:noProof w:val="0"/>
              </w:rPr>
            </w:pPr>
            <w:r w:rsidRPr="00E158AE">
              <w:rPr>
                <w:noProof/>
              </w:rPr>
              <w:t>Acute Tox. 4 (Oral), H302</w:t>
              <w:br/>
              <w:t>Acute Tox. 4 (Dermal), H312</w:t>
              <w:br/>
              <w:t>Acute Tox. 4 (Inhalation), H332</w:t>
              <w:br/>
              <w:t>Skin Irrit. 2, H315</w:t>
              <w:br/>
              <w:t>Eye Irrit. 2, H319</w:t>
              <w:br/>
              <w:t>Skin Sens. 1A, H317</w:t>
              <w:br/>
              <w:t>Carc. 2, H351</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benzoate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93-89-0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202-284-3</w:t>
            </w:r>
          </w:p>
        </w:tc>
        <w:tc>
          <w:tcPr>
            <w:tcW w:w="1134" w:type="dxa"/>
          </w:tcPr>
          <w:p w:rsidR="00827634" w:rsidRPr="00E158AE" w:rsidP="009B0F88" w14:textId="5180E34A">
            <w:pPr>
              <w:pStyle w:val="SDSTableTextNormal"/>
              <w:rPr>
                <w:noProof w:val="0"/>
              </w:rPr>
            </w:pPr>
            <w:r w:rsidR="00066C34">
              <w:rPr>
                <w:noProof/>
              </w:rPr>
              <w:t>0.01 – 0.01</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ethanol; ethyl alcohol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64-17-5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200-578-6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603-002-00-5</w:t>
            </w:r>
          </w:p>
        </w:tc>
        <w:tc>
          <w:tcPr>
            <w:tcW w:w="1134" w:type="dxa"/>
          </w:tcPr>
          <w:p w:rsidR="00827634" w:rsidRPr="00E158AE" w:rsidP="009B0F88" w14:textId="5180E34A">
            <w:pPr>
              <w:pStyle w:val="SDSTableTextNormal"/>
              <w:rPr>
                <w:noProof w:val="0"/>
              </w:rPr>
            </w:pPr>
            <w:r w:rsidR="00066C34">
              <w:rPr>
                <w:noProof/>
              </w:rPr>
              <w:t>0.01 – 0.01</w:t>
            </w:r>
          </w:p>
        </w:tc>
        <w:tc>
          <w:tcPr>
            <w:tcW w:w="3118" w:type="dxa"/>
          </w:tcPr>
          <w:p w:rsidR="00827634" w:rsidRPr="00E158AE" w:rsidP="009B0F88" w14:textId="7E488380">
            <w:pPr>
              <w:pStyle w:val="SDSTableTextNormal"/>
              <w:rPr>
                <w:noProof w:val="0"/>
              </w:rPr>
            </w:pPr>
            <w:r w:rsidRPr="00E158AE">
              <w:rPr>
                <w:noProof/>
              </w:rPr>
              <w:t>Flam. Liq. 2, H225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acetaldehyde; ethanal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75-07-0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200-836-8</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605-003-00-6</w:t>
            </w:r>
          </w:p>
        </w:tc>
        <w:tc>
          <w:tcPr>
            <w:tcW w:w="1134" w:type="dxa"/>
          </w:tcPr>
          <w:p w:rsidR="00827634" w:rsidRPr="00E158AE" w:rsidP="009B0F88" w14:textId="5180E34A">
            <w:pPr>
              <w:pStyle w:val="SDSTableTextNormal"/>
              <w:rPr>
                <w:noProof w:val="0"/>
              </w:rPr>
            </w:pPr>
            <w:r w:rsidR="00066C34">
              <w:rPr>
                <w:noProof/>
              </w:rPr>
              <w:t>0.01 – 0.01</w:t>
            </w:r>
          </w:p>
        </w:tc>
        <w:tc>
          <w:tcPr>
            <w:tcW w:w="3118" w:type="dxa"/>
          </w:tcPr>
          <w:p w:rsidR="00827634" w:rsidRPr="00E158AE" w:rsidP="009B0F88" w14:textId="7E488380">
            <w:pPr>
              <w:pStyle w:val="SDSTableTextNormal"/>
              <w:rPr>
                <w:noProof w:val="0"/>
              </w:rPr>
            </w:pPr>
            <w:r w:rsidRPr="00E158AE">
              <w:rPr>
                <w:noProof/>
              </w:rPr>
              <w:t>Flam. Liq. 1, H224</w:t>
              <w:br/>
              <w:t>Acute Tox. 4 (Oral), H302</w:t>
              <w:br/>
              <w:t>Eye Irrit. 2, H319</w:t>
              <w:br/>
              <w:t>Muta. 2, H341</w:t>
              <w:br/>
              <w:t>Carc. 1B, H350</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0.001 – 0.0025</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0.001 – 0.0025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0.0005 – 0.001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0.0001 – 0.0005</w:t>
            </w:r>
          </w:p>
        </w:tc>
        <w:tc>
          <w:tcPr>
            <w:tcW w:w="3118" w:type="dxa"/>
          </w:tcPr>
          <w:p w:rsidR="00827634" w:rsidRPr="00E158AE" w:rsidP="009B0F88" w14:textId="7E488380">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isoeugenol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4253" w:type="dxa"/>
          </w:tcPr>
          <w:p w:rsidR="00827634" w:rsidRPr="00E158AE" w:rsidP="009B0F88" w14:paraId="12970379" w14:textId="79A64A3E">
            <w:pPr>
              <w:pStyle w:val="SDSTableTextNormal"/>
              <w:rPr>
                <w:noProof w:val="0"/>
              </w:rPr>
            </w:pPr>
            <w:r w:rsidRPr="00E158AE">
              <w:rPr>
                <w:noProof/>
              </w:rPr>
              <w:t>(0.01 ≤ C ≤ 100) Skin Sens. 1A,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benzoate</w:t>
            </w:r>
            <w:r w:rsidRPr="00E158AE">
              <w:rPr>
                <w:noProof w:val="0"/>
              </w:rPr>
              <w:t xml:space="preserve"> </w:t>
            </w:r>
            <w:r w:rsidRPr="00E158AE" w:rsidR="00FD53E4">
              <w:rPr>
                <w:noProof/>
              </w:rPr>
              <w:t>(93-89-0)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49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ethanol; ethyl alcohol</w:t>
            </w:r>
            <w:r w:rsidRPr="00E158AE">
              <w:rPr>
                <w:noProof w:val="0"/>
              </w:rPr>
              <w:t xml:space="preserve"> </w:t>
            </w:r>
            <w:r w:rsidRPr="00E158AE" w:rsidR="00FD53E4">
              <w:rPr>
                <w:noProof/>
              </w:rPr>
              <w:t>(64-17-5)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380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137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MAC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1900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1920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5760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3000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625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acetaldehyde; ethanal</w:t>
            </w:r>
            <w:r w:rsidRPr="00E158AE">
              <w:rPr>
                <w:noProof w:val="0"/>
              </w:rPr>
              <w:t xml:space="preserve"> </w:t>
            </w:r>
            <w:r w:rsidRPr="00E158AE" w:rsidR="00FD53E4">
              <w:rPr>
                <w:noProof/>
              </w:rPr>
              <w:t>(75-07-0)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Group B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 category 1B, Mutagen category 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91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45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NDSP (OEL C)</w:t>
            </w:r>
          </w:p>
        </w:tc>
        <w:tc>
          <w:tcPr>
            <w:tcW w:w="6521" w:type="dxa"/>
          </w:tcPr>
          <w:p w:rsidR="000251E6" w:rsidRPr="00E158AE" w:rsidP="00FB22E1" w14:textId="574A0FB1">
            <w:pPr>
              <w:pStyle w:val="SDSTableTextNormal"/>
              <w:rPr>
                <w:noProof w:val="0"/>
              </w:rPr>
            </w:pPr>
            <w:r w:rsidRPr="00E158AE">
              <w:rPr>
                <w:noProof/>
              </w:rPr>
              <w:t>45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A2 - Suspected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46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C1B</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Capable of causing cancer and/or heritable genetic damage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67.5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90 ppm</w:t>
              <w:b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C2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C</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Suspected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isoeugenol (97-54-1)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1560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1912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benzoate (93-89-0)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2100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ethanol; ethyl alcohol (64-17-5)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7060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133.8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acetaldehyde; ethanal (75-07-0)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660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700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3540 mg/kg (Source: NLM_HSDB)</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3540 mg/kg</w:t>
            </w:r>
          </w:p>
        </w:tc>
      </w:tr>
      <w:tr w14:paraId="2AC9C978" w14:textId="77777777" w:rsidTr="00D454E0">
        <w:tblPrEx>
          <w:tblW w:w="10489" w:type="dxa"/>
          <w:tblLayout w:type="fixed"/>
          <w:tblLook w:val="04A0"/>
        </w:tblPrEx>
        <w:tc>
          <w:tcPr>
            <w:tcW w:w="3969" w:type="dxa"/>
          </w:tcPr>
          <w:p w:rsidR="00827634" w:rsidRPr="00E158AE" w:rsidP="009B0F88" w14:paraId="116E9B3C" w14:textId="7EAD5B06">
            <w:pPr>
              <w:pStyle w:val="SDSTableTextNormal"/>
              <w:rPr>
                <w:noProof w:val="0"/>
              </w:rPr>
            </w:pPr>
            <w:r w:rsidR="00066C34">
              <w:rPr>
                <w:noProof/>
              </w:rPr>
              <w:t>LC50 Inhalation - Rat [ppm]</w:t>
            </w:r>
          </w:p>
        </w:tc>
        <w:tc>
          <w:tcPr>
            <w:tcW w:w="6520" w:type="dxa"/>
          </w:tcPr>
          <w:p w:rsidR="00827634" w:rsidRPr="00E158AE" w:rsidP="009B0F88" w14:paraId="5B461613" w14:textId="607AD026">
            <w:pPr>
              <w:pStyle w:val="SDSTableTextNormal"/>
              <w:rPr>
                <w:noProof w:val="0"/>
              </w:rPr>
            </w:pPr>
            <w:r w:rsidR="00066C34">
              <w:rPr>
                <w:noProof/>
              </w:rPr>
              <w:t>13000 ppm/4h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isoeugenol (97-54-1)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2B - Possibly carcinogenic to humans</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acetaldehyde; ethanal (75-07-0)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Pr="00E158AE">
              <w:rPr>
                <w:noProof/>
              </w:rPr>
              <w:t>1 - Carcinogenic to humans,2B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isoeugenol (97-54-1)</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acetaldehyde; ethanal (75-07-0)</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p-Cymene (99-87-6)</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benzoate (93-89-0)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6.7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ethanol; ethyl alcohol (64-17-5)</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&gt; 100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2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acetaldehyde; ethanal (75-07-0)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28 – 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53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3.64 – 6.15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textId="3786FA89">
            <w:pPr>
              <w:pStyle w:val="SDSTableTextNormal"/>
              <w:rPr>
                <w:noProof w:val="0"/>
              </w:rPr>
            </w:pPr>
            <w:r w:rsidR="00066C34">
              <w:rPr>
                <w:noProof/>
              </w:rPr>
              <w:t>EC50 - Crustacea [2]</w:t>
            </w:r>
          </w:p>
        </w:tc>
        <w:tc>
          <w:tcPr>
            <w:tcW w:w="6520" w:type="dxa"/>
          </w:tcPr>
          <w:p w:rsidR="00827634" w:rsidRPr="00E158AE" w:rsidP="009B0F88" w14:textId="488F4436">
            <w:pPr>
              <w:pStyle w:val="SDSTableTextNormal"/>
              <w:rPr>
                <w:noProof w:val="0"/>
              </w:rPr>
            </w:pPr>
            <w:r w:rsidRPr="00E158AE">
              <w:rPr>
                <w:noProof/>
              </w:rPr>
              <w:t>48.3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MILK &amp; HONEY #EU24302F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isoeugenol (97-54-1)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p-Cymene (99-87-6)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benzoate (93-89-0)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ethanol; ethyl alcohol (64-17-5)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acetaldehyde; ethanal (75-07-0)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MILK &amp; HONEY #EU24302F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benzoate (93-89-0)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2.59 (at 22.8 °C (at pH 6-7)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ethanol; ethyl alcohol (64-17-5)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24 °C (at pH 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acetaldehyde; ethanal (75-07-0)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0.45 – 0.63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28.</w:t>
            </w:r>
          </w:p>
        </w:tc>
        <w:tc>
          <w:tcPr>
            <w:tcW w:w="946" w:type="pct"/>
          </w:tcPr>
          <w:p w:rsidR="00A65092" w:rsidRPr="00E158AE" w:rsidP="005C557D" w14:paraId="4FFDF545" w14:textId="65E103D2">
            <w:pPr>
              <w:pStyle w:val="SDSTableTextNormal"/>
              <w:rPr>
                <w:noProof w:val="0"/>
              </w:rPr>
            </w:pPr>
            <w:r w:rsidR="00066C34">
              <w:rPr>
                <w:noProof/>
              </w:rPr>
              <w:t>acetaldehyde; ethanal</w:t>
            </w:r>
          </w:p>
        </w:tc>
        <w:tc>
          <w:tcPr>
            <w:tcW w:w="3108" w:type="pct"/>
          </w:tcPr>
          <w:p w:rsidR="00A65092" w:rsidRPr="00E158AE" w:rsidP="005C557D" w14:paraId="5CB7466F" w14:textId="6AB5FBA9">
            <w:pPr>
              <w:pStyle w:val="SDSTableTextNormal"/>
              <w:rPr>
                <w:noProof w:val="0"/>
              </w:rPr>
            </w:pPr>
            <w:r w:rsidRPr="00E158AE">
              <w:rPr>
                <w:noProof/>
              </w:rPr>
              <w:t>Substances which are classified as carcinogen category 1A or 1B in Part 3 of Annex VI to Regulation (EC) No 1272/2008 and are listed in Appendix 1 or Appendix 2, respectively.</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3(a)</w:t>
            </w:r>
          </w:p>
        </w:tc>
        <w:tc>
          <w:tcPr>
            <w:tcW w:w="946" w:type="pct"/>
          </w:tcPr>
          <w:p w:rsidR="00A65092" w:rsidRPr="00E158AE" w:rsidP="005C557D" w14:textId="65E103D2">
            <w:pPr>
              <w:pStyle w:val="SDSTableTextNormal"/>
              <w:rPr>
                <w:noProof w:val="0"/>
              </w:rPr>
            </w:pPr>
            <w:r w:rsidRPr="00E158AE">
              <w:rPr>
                <w:noProof/>
              </w:rPr>
              <w:t>.alpha.-Pinene ; (R)-p-mentha-1,8-diene; d-limonene ; .beta.-Pinene ; p-Cymene ; ethanol; ethyl alcohol ; acetaldehyde; ethanal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MILK &amp; HONEY #EU24302F 10% in DPG ; benzyl benzoate ; Benzyl salicylate ; benzaldehyde ; isoeugenol ; .alpha.-Pinene ; (R)-p-mentha-1,8-diene; d-limonene ; p-Cymene ; acetaldehyde; ethanal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MILK &amp; HONEY #EU24302F 10% in DPG ; benzyl benzoate ; Benzyl salicylate ; .alpha.-Pinene ; (R)-p-mentha-1,8-diene; d-limonene ; p-Cymene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.alpha.-Pinene ; (R)-p-mentha-1,8-diene; d-limonene ; .beta.-Pinene ; p-Cymene ; ethanol; ethyl alcohol ; acetaldehyde; ethanal</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Ethyl alcohol,Acetaldehyde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Ethyl alcohol is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Ethyl alcohol is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Ethyl alcohol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1B</w:t>
            </w:r>
          </w:p>
        </w:tc>
        <w:tc>
          <w:tcPr>
            <w:tcW w:w="8504" w:type="dxa"/>
          </w:tcPr>
          <w:p w:rsidR="00827634" w:rsidRPr="00E158AE" w:rsidP="009B0F88" w14:textId="59C420F9">
            <w:pPr>
              <w:pStyle w:val="SDSTableTextNormal"/>
              <w:rPr>
                <w:noProof w:val="0"/>
              </w:rPr>
            </w:pPr>
            <w:r w:rsidRPr="00E158AE">
              <w:rPr>
                <w:noProof/>
              </w:rPr>
              <w:t>Carcinogenicity,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Pr="00E158AE">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1</w:t>
            </w:r>
          </w:p>
        </w:tc>
        <w:tc>
          <w:tcPr>
            <w:tcW w:w="8504" w:type="dxa"/>
          </w:tcPr>
          <w:p w:rsidR="00827634" w:rsidRPr="00E158AE" w:rsidP="009B0F88" w14:textId="59C420F9">
            <w:pPr>
              <w:pStyle w:val="SDSTableTextNormal"/>
              <w:rPr>
                <w:noProof w:val="0"/>
              </w:rPr>
            </w:pPr>
            <w:r w:rsidRPr="00E158AE">
              <w:rPr>
                <w:noProof/>
              </w:rPr>
              <w:t>Flammable liquids,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H224</w:t>
            </w:r>
          </w:p>
        </w:tc>
        <w:tc>
          <w:tcPr>
            <w:tcW w:w="8504" w:type="dxa"/>
          </w:tcPr>
          <w:p w:rsidR="00827634" w:rsidRPr="00E158AE" w:rsidP="009B0F88" w14:textId="59C420F9">
            <w:pPr>
              <w:pStyle w:val="SDSTableTextNormal"/>
              <w:rPr>
                <w:noProof w:val="0"/>
              </w:rPr>
            </w:pPr>
            <w:r w:rsidRPr="00E158AE">
              <w:rPr>
                <w:noProof/>
              </w:rPr>
              <w:t>Extremely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H341</w:t>
            </w:r>
          </w:p>
        </w:tc>
        <w:tc>
          <w:tcPr>
            <w:tcW w:w="8504" w:type="dxa"/>
          </w:tcPr>
          <w:p w:rsidR="00827634" w:rsidRPr="00E158AE" w:rsidP="009B0F88" w14:textId="59C420F9">
            <w:pPr>
              <w:pStyle w:val="SDSTableTextNormal"/>
              <w:rPr>
                <w:noProof w:val="0"/>
              </w:rPr>
            </w:pPr>
            <w:r w:rsidRPr="00E158AE">
              <w:rPr>
                <w:noProof/>
              </w:rPr>
              <w:t>Suspected of causing genetic defects.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H350</w:t>
            </w:r>
          </w:p>
        </w:tc>
        <w:tc>
          <w:tcPr>
            <w:tcW w:w="8504" w:type="dxa"/>
          </w:tcPr>
          <w:p w:rsidR="00827634" w:rsidRPr="00E158AE" w:rsidP="009B0F88" w14:textId="59C420F9">
            <w:pPr>
              <w:pStyle w:val="SDSTableTextNormal"/>
              <w:rPr>
                <w:noProof w:val="0"/>
              </w:rPr>
            </w:pPr>
            <w:r w:rsidRPr="00E158AE">
              <w:rPr>
                <w:noProof/>
              </w:rPr>
              <w:t>May cause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Muta. 2</w:t>
            </w:r>
          </w:p>
        </w:tc>
        <w:tc>
          <w:tcPr>
            <w:tcW w:w="8504" w:type="dxa"/>
          </w:tcPr>
          <w:p w:rsidR="00827634" w:rsidRPr="00E158AE" w:rsidP="009B0F88" w14:textId="59C420F9">
            <w:pPr>
              <w:pStyle w:val="SDSTableTextNormal"/>
              <w:rPr>
                <w:noProof w:val="0"/>
              </w:rPr>
            </w:pPr>
            <w:r w:rsidRPr="00E158AE">
              <w:rPr>
                <w:noProof/>
              </w:rPr>
              <w:t>Germ cell mutagenicity,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MILK &amp; HONEY #EU24302F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MILK &amp; HONEY #EU24302F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