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BAMBOO &amp; GREEN TEA #EU32908F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EU32908F_10%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Lemon oil, Bergamot oil, Linalool, Iso E Super, Linalyl acetate, Citronellol Pure, Anise oil (Spanish).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2.75 – 5.5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Lemon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0.23 – 0.45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Bergamot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8007-75-8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289-612-9</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60F6CE2E">
            <w:pPr>
              <w:pStyle w:val="SDSTableTextNormal"/>
              <w:rPr>
                <w:noProof w:val="0"/>
              </w:rPr>
            </w:pPr>
            <w:r w:rsidRPr="00E158AE">
              <w:rPr>
                <w:noProof/>
              </w:rPr>
              <w:t>Flam. Liq. 3, H226</w:t>
              <w:br/>
              <w:t>Skin Irrit. 2, H315</w:t>
              <w:b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60F6CE2E">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0.13 – 0.25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0.09 – 0.175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Anise oil (Spanish)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8007-70-3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616-914-3</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Skin Sens. 1, H317</w:t>
              <w:br/>
              <w:t>Muta. 2, H341</w:t>
              <w:br/>
              <w:t>Carc. 2, H351</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0.043398 – 0.086796</w:t>
            </w:r>
          </w:p>
        </w:tc>
        <w:tc>
          <w:tcPr>
            <w:tcW w:w="3118" w:type="dxa"/>
          </w:tcPr>
          <w:p w:rsidR="00827634" w:rsidRPr="00E158AE" w:rsidP="009B0F88" w14:textId="60F6CE2E">
            <w:pPr>
              <w:pStyle w:val="SDSTableTextNormal"/>
              <w:rPr>
                <w:noProof w:val="0"/>
              </w:rPr>
            </w:pPr>
            <w:r w:rsidR="00066C34">
              <w:rPr>
                <w:noProof/>
              </w:rPr>
              <w:t>Not classified</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Lemon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Bergamot oil (8007-75-8)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11520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Anise oil (Spanish) (8007-70-3)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BAMBOO &amp; GREEN TEA #EU32908F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BAMBOO &amp; GREEN TEA #EU32908F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Lemon oil  ; Bergamot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Lemon oil  ; Bergamot oil ; Linalool ; Iso E Super ; Linalyl acetate ; Citronellol Pure ; Anise oil (Spanish)</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BAMBOO &amp; GREEN TEA #EU32908F 10% ; Benzyl benzoate ; Lemon oil  ; Bergamot oil ; Iso E Super ; Anise oil (Spanish)</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Lemon oil  ; Bergamot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Lemon oil ,Bergamot oil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Lemon oil ,Bergamot oil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Lemon oil, Bergamot oil, Linalool, Iso E Super, Linalyl acetate, Citronellol Pure, Anise oil (Spanish).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H341</w:t>
            </w:r>
          </w:p>
        </w:tc>
        <w:tc>
          <w:tcPr>
            <w:tcW w:w="8504" w:type="dxa"/>
          </w:tcPr>
          <w:p w:rsidR="00827634" w:rsidRPr="00E158AE" w:rsidP="009B0F88" w14:textId="59C420F9">
            <w:pPr>
              <w:pStyle w:val="SDSTableTextNormal"/>
              <w:rPr>
                <w:noProof w:val="0"/>
              </w:rPr>
            </w:pPr>
            <w:r w:rsidRPr="00E158AE">
              <w:rPr>
                <w:noProof/>
              </w:rPr>
              <w:t>Suspected of causing genetic defects.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Muta. 2</w:t>
            </w:r>
          </w:p>
        </w:tc>
        <w:tc>
          <w:tcPr>
            <w:tcW w:w="8504" w:type="dxa"/>
          </w:tcPr>
          <w:p w:rsidR="00827634" w:rsidRPr="00E158AE" w:rsidP="009B0F88" w14:textId="59C420F9">
            <w:pPr>
              <w:pStyle w:val="SDSTableTextNormal"/>
              <w:rPr>
                <w:noProof w:val="0"/>
              </w:rPr>
            </w:pPr>
            <w:r w:rsidRPr="00E158AE">
              <w:rPr>
                <w:noProof/>
              </w:rPr>
              <w:t>Germ cell mutagenicity,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BAMBOO &amp; GREEN TEA #EU32908F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BAMBOO &amp; GREEN TEA #EU32908F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F84320C-1485-4996-8DAA-B90BA8762430}"/>
</file>

<file path=customXml/itemProps3.xml><?xml version="1.0" encoding="utf-8"?>
<ds:datastoreItem xmlns:ds="http://schemas.openxmlformats.org/officeDocument/2006/customXml" ds:itemID="{86795681-B0CF-43BD-95E1-EBD55ED870E9}"/>
</file>

<file path=customXml/itemProps4.xml><?xml version="1.0" encoding="utf-8"?>
<ds:datastoreItem xmlns:ds="http://schemas.openxmlformats.org/officeDocument/2006/customXml" ds:itemID="{61525051-AC20-42B5-B7BB-B75D62B34AD0}"/>
</file>

<file path=docProps/app.xml><?xml version="1.0" encoding="utf-8"?>
<Properties xmlns="http://schemas.openxmlformats.org/officeDocument/2006/extended-properties" xmlns:vt="http://schemas.openxmlformats.org/officeDocument/2006/docPropsVTypes">
  <Template>Normal.dotm</Template>
  <TotalTime>39</TotalTime>
  <Pages>12</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