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SWEET ORANGE #EU37824F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EU37824F_25%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d-Limonene; Tangerine oil; Orange oil</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9.225 – 18.4375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1.975 – 3.9375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0.275 – 0.525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Tangerine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8016-85-1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297-672-2</w:t>
            </w:r>
          </w:p>
        </w:tc>
        <w:tc>
          <w:tcPr>
            <w:tcW w:w="1134" w:type="dxa"/>
          </w:tcPr>
          <w:p w:rsidR="00827634" w:rsidRPr="00E158AE" w:rsidP="009B0F88" w14:textId="5180E34A">
            <w:pPr>
              <w:pStyle w:val="SDSTableTextNormal"/>
              <w:rPr>
                <w:noProof w:val="0"/>
              </w:rPr>
            </w:pPr>
            <w:r w:rsidR="00066C34">
              <w:rPr>
                <w:noProof/>
              </w:rPr>
              <w:t>0.275 – 0.525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Acute 1, H400</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HTP (OEL TWA) [1]</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SWEET ORANGE #EU37824F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SWEET ORANGE #EU37824F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 xml:space="preserve">(R)-p-mentha-1,8-diene; d-limonene ; Tangerine oil ; Orange oil </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 xml:space="preserve">SWEET ORANGE #EU37824F 25% in DPG ; benzyl benzoate ; (R)-p-mentha-1,8-diene; d-limonene ; Tangerine oil ; Orange oil </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 xml:space="preserve">SWEET ORANGE #EU37824F 25% in DPG ; benzyl benzoate ; (R)-p-mentha-1,8-diene; d-limonene ; 1,3,4,6,7,8-hexahydro-4,6,6,7,8,8-hexamethylindeno[5,6-c]pyran; galaxolide; (HHCB) ; Tangerine oil ; Orange oil </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 xml:space="preserve">(R)-p-mentha-1,8-diene; d-limonene ; Tangerine oil ; Orange oil </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Tangerine oil,Orange oil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SWEET ORANGE #EU37824F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SWEET ORANGE #EU37824F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E160E285-E4DB-4960-927B-92D44BE55176}"/>
</file>

<file path=customXml/itemProps3.xml><?xml version="1.0" encoding="utf-8"?>
<ds:datastoreItem xmlns:ds="http://schemas.openxmlformats.org/officeDocument/2006/customXml" ds:itemID="{B5790936-83D0-4B1D-8035-4F5B2AB415FE}"/>
</file>

<file path=customXml/itemProps4.xml><?xml version="1.0" encoding="utf-8"?>
<ds:datastoreItem xmlns:ds="http://schemas.openxmlformats.org/officeDocument/2006/customXml" ds:itemID="{98ABDF0F-3A07-491D-8E7C-28954D1C8111}"/>
</file>

<file path=docProps/app.xml><?xml version="1.0" encoding="utf-8"?>
<Properties xmlns="http://schemas.openxmlformats.org/officeDocument/2006/extended-properties" xmlns:vt="http://schemas.openxmlformats.org/officeDocument/2006/docPropsVTypes">
  <Template>Normal.dotm</Template>
  <TotalTime>39</TotalTime>
  <Pages>12</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