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SWEET ORANGE #EU37824F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EU37824F_5%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(R)-p-mentha-1,8-diene; d-limonene, Tangerine oil.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1.845 – 3.6875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0.395 – 0.7875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0.055 – 0.105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Tangerine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8016-85-1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297-672-2</w:t>
            </w:r>
          </w:p>
        </w:tc>
        <w:tc>
          <w:tcPr>
            <w:tcW w:w="1134" w:type="dxa"/>
          </w:tcPr>
          <w:p w:rsidR="00827634" w:rsidRPr="00E158AE" w:rsidP="009B0F88" w14:textId="5180E34A">
            <w:pPr>
              <w:pStyle w:val="SDSTableTextNormal"/>
              <w:rPr>
                <w:noProof w:val="0"/>
              </w:rPr>
            </w:pPr>
            <w:r w:rsidR="00066C34">
              <w:rPr>
                <w:noProof/>
              </w:rPr>
              <w:t>0.055 – 0.105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HTP (OEL TWA) [1]</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SWEET ORANGE #EU37824F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SWEET ORANGE #EU37824F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(R)-p-mentha-1,8-diene; d-limonene ; Tangerine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(R)-p-mentha-1,8-diene; d-limonene ; Tangerine oil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SWEET ORANGE #EU37824F 5% in DPG ; benzyl benzoate ; (R)-p-mentha-1,8-diene; d-limonene ; 1,3,4,6,7,8-hexahydro-4,6,6,7,8,8-hexamethylindeno[5,6-c]pyran; galaxolide; (HHCB) ; Tangerine oil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(R)-p-mentha-1,8-diene; d-limonene ; Tangerine oil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Tangerine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(R)-p-mentha-1,8-diene; d-limonene, Tangerine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SWEET ORANGE #EU37824F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SWEET ORANGE #EU37824F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DC66E4FB-BCBD-4FFF-B76F-D9F47B4025C3}"/>
</file>

<file path=customXml/itemProps3.xml><?xml version="1.0" encoding="utf-8"?>
<ds:datastoreItem xmlns:ds="http://schemas.openxmlformats.org/officeDocument/2006/customXml" ds:itemID="{0EA94882-9C41-4F45-82C4-DB260FDADF0A}"/>
</file>

<file path=customXml/itemProps4.xml><?xml version="1.0" encoding="utf-8"?>
<ds:datastoreItem xmlns:ds="http://schemas.openxmlformats.org/officeDocument/2006/customXml" ds:itemID="{7C42E708-1B33-46D6-A1CB-2D2A1064A897}"/>
</file>

<file path=docProps/app.xml><?xml version="1.0" encoding="utf-8"?>
<Properties xmlns="http://schemas.openxmlformats.org/officeDocument/2006/extended-properties" xmlns:vt="http://schemas.openxmlformats.org/officeDocument/2006/docPropsVTypes">
  <Template>Normal.dotm</Template>
  <TotalTime>39</TotalTime>
  <Pages>11</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