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Bibliotheque Byredo #EU38209F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EU38209F_10%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Iso E Super; Amberwood F; Patchouli oil; Cinnamic alcohol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1.995 – 3.99</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0.9675 – 1.935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0.3425 – 0.685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Amberwood F</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58567-11-6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261-332-1</w:t>
            </w:r>
          </w:p>
        </w:tc>
        <w:tc>
          <w:tcPr>
            <w:tcW w:w="1134" w:type="dxa"/>
          </w:tcPr>
          <w:p w:rsidR="00827634" w:rsidRPr="00E158AE" w:rsidP="009B0F88" w14:textId="5180E34A">
            <w:pPr>
              <w:pStyle w:val="SDSTableTextNormal"/>
              <w:rPr>
                <w:noProof w:val="0"/>
              </w:rPr>
            </w:pPr>
            <w:r w:rsidR="00066C34">
              <w:rPr>
                <w:noProof/>
              </w:rPr>
              <w:t>0.1275 – 0.255</w:t>
            </w:r>
          </w:p>
        </w:tc>
        <w:tc>
          <w:tcPr>
            <w:tcW w:w="3118" w:type="dxa"/>
          </w:tcPr>
          <w:p w:rsidR="00827634" w:rsidRPr="00E158AE" w:rsidP="009B0F88" w14:textId="60F6CE2E">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Bacdanol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28219-61-6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248-908-8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01-2119529224-45</w:t>
            </w:r>
          </w:p>
        </w:tc>
        <w:tc>
          <w:tcPr>
            <w:tcW w:w="1134" w:type="dxa"/>
          </w:tcPr>
          <w:p w:rsidR="00827634" w:rsidRPr="00E158AE" w:rsidP="009B0F88" w14:textId="5180E34A">
            <w:pPr>
              <w:pStyle w:val="SDSTableTextNormal"/>
              <w:rPr>
                <w:noProof w:val="0"/>
              </w:rPr>
            </w:pPr>
            <w:r w:rsidR="00066C34">
              <w:rPr>
                <w:noProof/>
              </w:rPr>
              <w:t>0.0925 – 0.185</w:t>
            </w:r>
          </w:p>
        </w:tc>
        <w:tc>
          <w:tcPr>
            <w:tcW w:w="3118" w:type="dxa"/>
          </w:tcPr>
          <w:p w:rsidR="00827634" w:rsidRPr="00E158AE" w:rsidP="009B0F88" w14:textId="60F6CE2E">
            <w:pPr>
              <w:pStyle w:val="SDSTableTextNormal"/>
              <w:rPr>
                <w:noProof w:val="0"/>
              </w:rPr>
            </w:pPr>
            <w:r w:rsidRPr="00E158AE">
              <w:rPr>
                <w:noProof/>
              </w:rPr>
              <w:t>Skin Irrit. 2, H315</w:t>
              <w:br/>
              <w:t>Eye Irrit. 2, H319</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60F6CE2E">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 – 0.005</w:t>
            </w:r>
          </w:p>
        </w:tc>
        <w:tc>
          <w:tcPr>
            <w:tcW w:w="3118" w:type="dxa"/>
          </w:tcPr>
          <w:p w:rsidR="00827634" w:rsidRPr="00E158AE" w:rsidP="009B0F88" w14:textId="60F6CE2E">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Wash with plenty of water/…. If skin irritation or rash occurs: Get medical advice/attention. Specific treatment (see supplemental first aid instruction on this label). Wash contaminated clothing before reuse. 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r w14:paraId="01E67C46" w14:textId="77777777" w:rsidTr="00D454E0">
        <w:tblPrEx>
          <w:tblW w:w="0" w:type="auto"/>
          <w:tblLayout w:type="fixed"/>
          <w:tblLook w:val="04A0"/>
        </w:tblPrEx>
        <w:tc>
          <w:tcPr>
            <w:tcW w:w="3686" w:type="dxa"/>
          </w:tcPr>
          <w:p w:rsidR="00827634" w:rsidRPr="00E158AE" w:rsidP="009B0F88" w14:paraId="28985535" w14:textId="12A60E41">
            <w:pPr>
              <w:pStyle w:val="SDSTableTextNormal"/>
              <w:rPr>
                <w:noProof w:val="0"/>
              </w:rPr>
            </w:pPr>
            <w:r w:rsidR="00066C34">
              <w:rPr>
                <w:noProof/>
              </w:rPr>
              <w:t>Symptoms/effects after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4A131A06">
            <w:pPr>
              <w:pStyle w:val="SDSTableTextNormal"/>
              <w:rPr>
                <w:noProof w:val="0"/>
              </w:rPr>
            </w:pPr>
            <w:r w:rsidR="00066C34">
              <w:rPr>
                <w:noProof/>
              </w:rPr>
              <w:t>May cause an allergic skin reaction.</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Avoid breathing dust/fume/gas/mist/vapours/spray. Wash hands and other exposed areas with mild soap and water before eating, drinking or smoking and when leaving work. Provide good ventilation in process area to prevent formation of vapour.</w:t>
            </w:r>
          </w:p>
        </w:tc>
      </w:tr>
      <w:tr w14:paraId="7F31E18D" w14:textId="77777777" w:rsidTr="00D454E0">
        <w:tblPrEx>
          <w:tblW w:w="0" w:type="auto"/>
          <w:tblLayout w:type="fixed"/>
          <w:tblLook w:val="04A0"/>
        </w:tblPrEx>
        <w:tc>
          <w:tcPr>
            <w:tcW w:w="3686" w:type="dxa"/>
          </w:tcPr>
          <w:p w:rsidR="00827634" w:rsidRPr="00E158AE" w:rsidP="009B0F88" w14:paraId="5ADD8ABC" w14:textId="17662042">
            <w:pPr>
              <w:pStyle w:val="SDSTableTextNormal"/>
              <w:rPr>
                <w:noProof w:val="0"/>
              </w:rPr>
            </w:pPr>
            <w:r w:rsidR="00066C34">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70F2307E">
            <w:pPr>
              <w:pStyle w:val="SDSTableTextNormal"/>
              <w:rPr>
                <w:noProof w:val="0"/>
              </w:rPr>
            </w:pPr>
            <w:r w:rsidRPr="00E158AE">
              <w:rPr>
                <w:noProof/>
              </w:rPr>
              <w:t>Contaminated work clothing should not be allowed out of the workplace. Wash contaminated clothing before reuse.</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Amberwood F (58567-11-6)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0628A19D" w14:textId="77777777" w:rsidTr="000B51C8">
        <w:tblPrEx>
          <w:tblW w:w="10490" w:type="dxa"/>
          <w:tblLayout w:type="fixed"/>
          <w:tblLook w:val="04A0"/>
        </w:tblPrEx>
        <w:tc>
          <w:tcPr>
            <w:tcW w:w="3686" w:type="dxa"/>
          </w:tcPr>
          <w:p w:rsidR="00827634" w:rsidRPr="00E158AE" w:rsidP="009B0F88" w14:paraId="23A4412B" w14:textId="3ABB938E">
            <w:pPr>
              <w:pStyle w:val="SDSTableTextNormal"/>
              <w:rPr>
                <w:noProof w:val="0"/>
              </w:rPr>
            </w:pPr>
            <w:r w:rsidR="00066C34">
              <w:rPr>
                <w:noProof/>
              </w:rPr>
              <w:t>Ecology - water</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7E0A9325">
            <w:pPr>
              <w:pStyle w:val="SDSTableTextNormal"/>
              <w:rPr>
                <w:noProof w:val="0"/>
              </w:rPr>
            </w:pPr>
            <w:r w:rsidR="00066C34">
              <w:rPr>
                <w:noProof/>
              </w:rPr>
              <w:t>Toxic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Bibliotheque Byredo #EU38209F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Pr="00E158AE">
              <w:rPr>
                <w:noProof/>
              </w:rPr>
              <w:t>May cause long-term adverse effects in the environment. 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Amberwood F (58567-11-6)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Bibliotheque Byredo #EU38209F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Amberwood F (58567-11-6)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(530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5.4 (at 25 °C)</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of contents/container in accordance with local/national laws and regulations. 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09"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3"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7"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1"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5"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provisions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 code</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provisions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Special 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provisions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provisions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provisions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Bibliotheque Byredo #EU38209F 10% ; Benzyl benzoate ; Iso E Super ; Amberwood F ; Patchouli oil ; Bacdanol ; Benzaldehyde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Bibliotheque Byredo #EU38209F 10% ; Benzyl benzoate ; Iso E Super ; Hexamethylindanopyran ; Amberwood F ; Patchouli oil ; Bacdanol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29"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1"/>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Bibliotheque Byredo #EU38209F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Bibliotheque Byredo #EU38209F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image" Target="media/image3.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4E7FE458-1700-46E6-BAE5-48B793E9CBFC}"/>
</file>

<file path=customXml/itemProps3.xml><?xml version="1.0" encoding="utf-8"?>
<ds:datastoreItem xmlns:ds="http://schemas.openxmlformats.org/officeDocument/2006/customXml" ds:itemID="{30CA1F55-E5F3-4529-ADF7-30F086985126}"/>
</file>

<file path=customXml/itemProps4.xml><?xml version="1.0" encoding="utf-8"?>
<ds:datastoreItem xmlns:ds="http://schemas.openxmlformats.org/officeDocument/2006/customXml" ds:itemID="{C829824A-9396-4681-B7D2-A733042B7E7D}"/>
</file>

<file path=docProps/app.xml><?xml version="1.0" encoding="utf-8"?>
<Properties xmlns="http://schemas.openxmlformats.org/officeDocument/2006/extended-properties" xmlns:vt="http://schemas.openxmlformats.org/officeDocument/2006/docPropsVTypes">
  <Template>Normal.dotm</Template>
  <TotalTime>39</TotalTime>
  <Pages>13</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