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BERGAMOTE &amp; ORANGE #EU38680F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EU38680F_25%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sensitisation,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Orange oil ; d-Limonene; Hexyl cinnamic aldehyde; Linalool; Tangerine oil; Vertofix; Ethyl phenyl glycidate</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dust/fume/gas/mist/vapours/spray.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 xml:space="preserve">Orange oil </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paraId="15AF5E6F" w14:textId="5180E34A">
            <w:pPr>
              <w:pStyle w:val="SDSTableTextNormal"/>
              <w:rPr>
                <w:noProof w:val="0"/>
              </w:rPr>
            </w:pPr>
            <w:r w:rsidR="00066C34">
              <w:rPr>
                <w:noProof/>
              </w:rPr>
              <w:t>0.65 – 1.3125</w:t>
            </w:r>
          </w:p>
        </w:tc>
        <w:tc>
          <w:tcPr>
            <w:tcW w:w="3118" w:type="dxa"/>
          </w:tcPr>
          <w:p w:rsidR="00827634" w:rsidRPr="00E158AE" w:rsidP="009B0F88" w14:paraId="03C690C9"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paraId="147D3D5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0.203584 – 0.406656</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0.175 – 0.325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Tangerine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8016-85-1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297-672-2</w:t>
            </w:r>
          </w:p>
        </w:tc>
        <w:tc>
          <w:tcPr>
            <w:tcW w:w="1134" w:type="dxa"/>
          </w:tcPr>
          <w:p w:rsidR="00827634" w:rsidRPr="00E158AE" w:rsidP="009B0F88" w14:textId="5180E34A">
            <w:pPr>
              <w:pStyle w:val="SDSTableTextNormal"/>
              <w:rPr>
                <w:noProof w:val="0"/>
              </w:rPr>
            </w:pPr>
            <w:r w:rsidR="00066C34">
              <w:rPr>
                <w:noProof/>
              </w:rPr>
              <w:t>0.125 – 0.2625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0.14145175 – 0.25555325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0.10109375 – 0.20203125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acetyl cedrene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32388-55-9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251-020-3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01-2119969651-28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Sens. 1B,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alcohol</w:t>
            </w:r>
          </w:p>
          <w:p w:rsidR="00827634" w:rsidRPr="00E158AE" w:rsidP="009B0F88" w14:textId="35534033">
            <w:pPr>
              <w:pStyle w:val="SDSTableTextNormal"/>
              <w:rPr>
                <w:noProof w:val="0"/>
              </w:rPr>
            </w:pPr>
            <w:r w:rsidRPr="00E158AE">
              <w:rPr>
                <w:noProof/>
              </w:rPr>
              <w:t>substance with national workplace exposure limit(s) (BG, CZ, DE, FI, LT, LV, PL,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100-51-6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202-859-9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603-057-00-5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01-2119492630-38</w:t>
            </w:r>
          </w:p>
        </w:tc>
        <w:tc>
          <w:tcPr>
            <w:tcW w:w="1134" w:type="dxa"/>
          </w:tcPr>
          <w:p w:rsidR="00827634" w:rsidRPr="00E158AE" w:rsidP="009B0F88" w14:textId="5180E34A">
            <w:pPr>
              <w:pStyle w:val="SDSTableTextNormal"/>
              <w:rPr>
                <w:noProof w:val="0"/>
              </w:rPr>
            </w:pPr>
            <w:r w:rsidR="00066C34">
              <w:rPr>
                <w:noProof/>
              </w:rPr>
              <w:t>0.0875 – 0.1625</w:t>
            </w:r>
          </w:p>
        </w:tc>
        <w:tc>
          <w:tcPr>
            <w:tcW w:w="3118" w:type="dxa"/>
          </w:tcPr>
          <w:p w:rsidR="00827634" w:rsidRPr="00E158AE" w:rsidP="009B0F88" w14:textId="60F6CE2E">
            <w:pPr>
              <w:pStyle w:val="SDSTableTextNormal"/>
              <w:rPr>
                <w:noProof w:val="0"/>
              </w:rPr>
            </w:pPr>
            <w:r w:rsidRPr="00E158AE">
              <w:rPr>
                <w:noProof/>
              </w:rPr>
              <w:t>Acute Tox. 4 (Oral), H302</w:t>
              <w:br/>
              <w:t>Acute Tox. 4 (Inhalation), H332</w:t>
              <w:br/>
              <w:t>Skin Irrit. 2, H315</w:t>
              <w:b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phenyl glycidate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121-39-1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204-467-3</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60F6CE2E">
            <w:pPr>
              <w:pStyle w:val="SDSTableTextNormal"/>
              <w:rPr>
                <w:noProof w:val="0"/>
              </w:rPr>
            </w:pPr>
            <w:r w:rsidRPr="00E158AE">
              <w:rPr>
                <w:noProof/>
              </w:rP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0.000006125 – 0.000011375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HTP (OEL TWA) [1]</w:t>
            </w:r>
          </w:p>
        </w:tc>
        <w:tc>
          <w:tcPr>
            <w:tcW w:w="6521" w:type="dxa"/>
          </w:tcPr>
          <w:p w:rsidR="000251E6" w:rsidRPr="00E158AE" w:rsidP="00FB22E1" w14:paraId="7F8A1D5B"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Benzyl alcohol</w:t>
            </w:r>
            <w:r w:rsidRPr="00E158AE">
              <w:rPr>
                <w:noProof w:val="0"/>
              </w:rPr>
              <w:t xml:space="preserve"> </w:t>
            </w:r>
            <w:r w:rsidRPr="00E158AE" w:rsidR="00FD53E4">
              <w:rPr>
                <w:noProof/>
              </w:rPr>
              <w:t>(100-51-6)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45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22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44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22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3"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alcohol (100-51-6)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1230 mg/kg (Source: NLM_CIP)</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1620 mg/kg bodyweight</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2500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acetyl cedrene (32388-55-9)</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4500 mg/kg bodyweight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phenyl glycidate (121-39-1)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2300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2300 mg/kg bodyweight</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paraId="26742CEC"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paraId="51EC1C32"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alcohol (100-51-6)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460 mg/l (Exposure time: 96 h - Species: Pimephales promelas [static]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10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23 mg/l (Exposure time: 48 h - Species: water flea)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88.3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BERGAMOTE &amp; ORANGE #EU38680F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00066C34">
              <w:rPr>
                <w:noProof/>
              </w:rPr>
              <w:t>BERGAMOTE &amp; ORANGE #EU38680F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alcohol (100-51-6)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1.05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acetyl cedrene (32388-55-9)</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(3920 dimensionless (organ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5.6 – 5.9</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phenyl glycidate (121-39-1)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20 °C)</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Orange oil  ; d-Limonene ; Tangerine oil</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BERGAMOTE &amp; ORANGE #EU38680F 25% ; Orange oil  ; d-Limonene ; Benzyl alcohol ; Citral ; Hexyl cinnamic aldehyde ; Linalool ; Tangerine oil ; acetyl cedrene ; ethyl phenyl glycidate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BERGAMOTE &amp; ORANGE #EU38680F 25% ; Orange oil  ; d-Limonene ; Hexamethylindanopyran ; Hexyl cinnamic aldehyde ; Tangerine oil ; acetyl cedrene</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Orange oil  ; d-Limonene ; Tangerine oil</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5"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Orange oil ,Tangerine oil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Orange oil  is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4 (Inhalation)</w:t>
            </w:r>
          </w:p>
        </w:tc>
        <w:tc>
          <w:tcPr>
            <w:tcW w:w="8504" w:type="dxa"/>
          </w:tcPr>
          <w:p w:rsidR="00827634" w:rsidRPr="00E158AE" w:rsidP="009B0F88" w14:paraId="553EC3F4" w14:textId="59C420F9">
            <w:pPr>
              <w:pStyle w:val="SDSTableTextNormal"/>
              <w:rPr>
                <w:noProof w:val="0"/>
              </w:rPr>
            </w:pPr>
            <w:r w:rsidRPr="00E158AE">
              <w:rPr>
                <w:noProof/>
              </w:rPr>
              <w:t>Acute toxicity (inhal.),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H332</w:t>
            </w:r>
          </w:p>
        </w:tc>
        <w:tc>
          <w:tcPr>
            <w:tcW w:w="8504" w:type="dxa"/>
          </w:tcPr>
          <w:p w:rsidR="00827634" w:rsidRPr="00E158AE" w:rsidP="009B0F88" w14:textId="59C420F9">
            <w:pPr>
              <w:pStyle w:val="SDSTableTextNormal"/>
              <w:rPr>
                <w:noProof w:val="0"/>
              </w:rPr>
            </w:pPr>
            <w:r w:rsidRPr="00E158AE">
              <w:rPr>
                <w:noProof/>
              </w:rPr>
              <w:t>Harmful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Pr>
              <w:b/>
              <w:noProof/>
              <w:sz w:val="32"/>
              <w:szCs w:val="32"/>
            </w:rPr>
            <w:t>BERGAMOTE &amp; ORANGE #EU38680F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Pr>
              <w:b/>
              <w:noProof/>
              <w:sz w:val="32"/>
              <w:szCs w:val="32"/>
            </w:rPr>
            <w:t>BERGAMOTE &amp; ORANGE #EU38680F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F5F0043D-9AE0-4F80-9F50-5E6D038D0F90}"/>
</file>

<file path=customXml/itemProps3.xml><?xml version="1.0" encoding="utf-8"?>
<ds:datastoreItem xmlns:ds="http://schemas.openxmlformats.org/officeDocument/2006/customXml" ds:itemID="{58F7FFB3-42F6-4A2A-B004-28B20D2FD115}"/>
</file>

<file path=customXml/itemProps4.xml><?xml version="1.0" encoding="utf-8"?>
<ds:datastoreItem xmlns:ds="http://schemas.openxmlformats.org/officeDocument/2006/customXml" ds:itemID="{33E90701-CC02-4428-BF79-81B298EF9C10}"/>
</file>

<file path=docProps/app.xml><?xml version="1.0" encoding="utf-8"?>
<Properties xmlns="http://schemas.openxmlformats.org/officeDocument/2006/extended-properties" xmlns:vt="http://schemas.openxmlformats.org/officeDocument/2006/docPropsVTypes">
  <Template>Normal.dotm</Template>
  <TotalTime>39</TotalTime>
  <Pages>14</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