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LIME #EU40565F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EU40565F_10%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Lemon terpenes; citral; Lime oil distilled ; Citronellol Pure</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3.66 – 7.3194</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Lemon terpenes</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68917-33-9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0.84 – 1.68</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paraId="147D3D5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Lime oil distilled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8008-26-2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290-010-3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01-2120138646-51</w:t>
            </w:r>
          </w:p>
        </w:tc>
        <w:tc>
          <w:tcPr>
            <w:tcW w:w="1134" w:type="dxa"/>
          </w:tcPr>
          <w:p w:rsidR="00827634" w:rsidRPr="00E158AE" w:rsidP="009B0F88" w14:textId="5180E34A">
            <w:pPr>
              <w:pStyle w:val="SDSTableTextNormal"/>
              <w:rPr>
                <w:noProof w:val="0"/>
              </w:rPr>
            </w:pPr>
            <w:r w:rsidR="00066C34">
              <w:rPr>
                <w:noProof/>
              </w:rPr>
              <w:t>0.06 – 0.125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1A, H360FD</w:t>
              <w:br/>
              <w:t>Asp. Tox. 1, H304</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0.06 – 0.12</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0.0025614 – 0.0025614</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0.00038255 – 0.00038255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0.00028</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0.00007</w:t>
            </w:r>
          </w:p>
        </w:tc>
        <w:tc>
          <w:tcPr>
            <w:tcW w:w="3118" w:type="dxa"/>
          </w:tcPr>
          <w:p w:rsidR="00827634" w:rsidRPr="00E158AE" w:rsidP="009B0F88" w14:textId="7E488380">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Lime oil distilled  (8008-26-2)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LIME #EU40565F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Lemon terpenes (68917-33-9)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Lime oil distilled  (8008-26-2)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LIME #EU40565F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Lemon terpenes ; Lime oil distilled  ; Aldehyde C-6 ; (R)-p-mentha-1,8-diene; d-limonene ; .beta.-Pinene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LIME #EU40565F 10% in DPG ; benzyl benzoate ; Lemon terpenes ; citral ; Lime oil distilled  ; Citronellol Pure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LIME #EU40565F 10% in DPG ; benzyl benzoate ; Lemon terpenes ; Lime oil distilled  ; Alcohol C-10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Lemon terpenes ; Lime oil distilled  ; Aldehyde C-6 ; (R)-p-mentha-1,8-diene; d-limonene ; .beta.-Pinene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terpenes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terpenes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H360FD</w:t>
            </w:r>
          </w:p>
        </w:tc>
        <w:tc>
          <w:tcPr>
            <w:tcW w:w="8504" w:type="dxa"/>
          </w:tcPr>
          <w:p w:rsidR="00827634" w:rsidRPr="00E158AE" w:rsidP="009B0F88" w14:textId="59C420F9">
            <w:pPr>
              <w:pStyle w:val="SDSTableTextNormal"/>
              <w:rPr>
                <w:noProof w:val="0"/>
              </w:rPr>
            </w:pPr>
            <w:r w:rsidRPr="00E158AE">
              <w:rPr>
                <w:noProof/>
              </w:rPr>
              <w:t>May damage fertility. May damage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1A</w:t>
            </w:r>
          </w:p>
        </w:tc>
        <w:tc>
          <w:tcPr>
            <w:tcW w:w="8504" w:type="dxa"/>
          </w:tcPr>
          <w:p w:rsidR="00827634" w:rsidRPr="00E158AE" w:rsidP="009B0F88" w14:textId="59C420F9">
            <w:pPr>
              <w:pStyle w:val="SDSTableTextNormal"/>
              <w:rPr>
                <w:noProof w:val="0"/>
              </w:rPr>
            </w:pPr>
            <w:r w:rsidRPr="00E158AE">
              <w:rPr>
                <w:noProof/>
              </w:rPr>
              <w:t>Reproductive toxicity,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LIME #EU40565F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LIME #EU40565F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42728B81-6F0E-4A47-B50C-3FC8B140C3E9}"/>
</file>

<file path=customXml/itemProps3.xml><?xml version="1.0" encoding="utf-8"?>
<ds:datastoreItem xmlns:ds="http://schemas.openxmlformats.org/officeDocument/2006/customXml" ds:itemID="{89DF5FF7-9704-40C4-9705-F7F8A25315CE}"/>
</file>

<file path=customXml/itemProps4.xml><?xml version="1.0" encoding="utf-8"?>
<ds:datastoreItem xmlns:ds="http://schemas.openxmlformats.org/officeDocument/2006/customXml" ds:itemID="{96007E77-BE68-4A53-942D-330088ED20B8}"/>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