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PEONY #EU41821F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EU41821F_25%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Linalyl acetate; Linalool; Vertenex; Geraniol; Benzyl salicylate; Iso E Super; Citronellol Pure; Triplal (Vertocitral); Hydroxy; Lemon oil ; Isocyclocitral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3.95 – 7.920625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1 – 2.000025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0.675 – 1.336825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0.625 – 1.2625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0.35 – 0.7125</w:t>
            </w:r>
          </w:p>
        </w:tc>
        <w:tc>
          <w:tcPr>
            <w:tcW w:w="3118" w:type="dxa"/>
          </w:tcPr>
          <w:p w:rsidR="00827634" w:rsidRPr="00E158AE" w:rsidP="009B0F88" w14:textId="60F6CE2E">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0.35 – 0.675</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0.35 – 0.675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0.325 – 0.65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0.1 – 0.212875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0.10387 – 0.193305</w:t>
            </w:r>
          </w:p>
        </w:tc>
        <w:tc>
          <w:tcPr>
            <w:tcW w:w="3118" w:type="dxa"/>
          </w:tcPr>
          <w:p w:rsidR="00827634" w:rsidRPr="00E158AE" w:rsidP="009B0F88" w14:textId="60F6CE2E">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Lemon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0.075 – 0.1375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Isocyclocitral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1335-66-6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215-638-7</w:t>
            </w:r>
          </w:p>
        </w:tc>
        <w:tc>
          <w:tcPr>
            <w:tcW w:w="1134" w:type="dxa"/>
          </w:tcPr>
          <w:p w:rsidR="00827634" w:rsidRPr="00E158AE" w:rsidP="009B0F88" w14:textId="5180E34A">
            <w:pPr>
              <w:pStyle w:val="SDSTableTextNormal"/>
              <w:rPr>
                <w:noProof w:val="0"/>
              </w:rPr>
            </w:pPr>
            <w:r w:rsidR="00066C34">
              <w:rPr>
                <w:noProof/>
              </w:rPr>
              <w:t>0.05 – 0.10025</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0.036165 – 0.0542475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0.00215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0.000525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Wash with plenty of water/…. If 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01E67C46" w14:textId="77777777" w:rsidTr="00D454E0">
        <w:tblPrEx>
          <w:tblW w:w="0" w:type="auto"/>
          <w:tblLayout w:type="fixed"/>
          <w:tblLook w:val="04A0"/>
        </w:tblPrEx>
        <w:tc>
          <w:tcPr>
            <w:tcW w:w="3686" w:type="dxa"/>
          </w:tcPr>
          <w:p w:rsidR="00827634" w:rsidRPr="00E158AE" w:rsidP="009B0F88" w14:paraId="28985535" w14:textId="12A60E41">
            <w:pPr>
              <w:pStyle w:val="SDSTableTextNormal"/>
              <w:rPr>
                <w:noProof w:val="0"/>
              </w:rPr>
            </w:pPr>
            <w:r w:rsidR="00066C34">
              <w:rPr>
                <w:noProof/>
              </w:rPr>
              <w:t>Symptoms/effects after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4A131A06">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Avoid breathing dust/fume/gas/mist/vapours/spray.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Contaminated work clothing should not be allowed out of the workplace. Wash contaminated clothing before reuse.</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Lemon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Isocyclocitral (1335-66-6)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3220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PEONY #EU41821F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Pr="00E158AE">
              <w:rPr>
                <w:noProof/>
              </w:rPr>
              <w:t>May cause long-term adverse effects in the environment. 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FRESH CUT PEONY #EU41821F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(Hexamethylindanopyran)</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(Hexamethylindanopyran),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(Hexamethylindanopyran),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(Hexamethylindanopyran),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provisions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 code</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provisions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Special 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provisions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provisions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provisions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Lemon oil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FRESH CUT PEONY #EU41821F 25% ; Benzyl benzoate ; Hexyl cinnamic aldehyde ; Linalyl acetate ; Linalool ; Vertenex ; Geraniol ; Benzyl salicylate ; Iso E Super ; Citronellol Pure ; Triplal (Vertocitral) ; Hydroxy ; Lemon oil  ; Isocyclocitral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FRESH CUT PEONY #EU41821F 25% ; Benzyl benzoate ; Hexyl cinnamic aldehyde ; Hexamethylindanopyran ; Benzyl salicylate ; Iso E Super ; Triplal (Vertocitral) ; Lemon oil  ; Benzyl acetate ; Isocyclocitral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Lemon oil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Triplal (Vertocitral),Lemon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Triplal (Vertocitral),Lemon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FRESH CUT PEONY #EU41821F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FRESH CUT PEONY #EU41821F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6E01395B-B5E4-4FAD-BC68-02E4FADB0CCB}"/>
</file>

<file path=customXml/itemProps3.xml><?xml version="1.0" encoding="utf-8"?>
<ds:datastoreItem xmlns:ds="http://schemas.openxmlformats.org/officeDocument/2006/customXml" ds:itemID="{E6116B73-4619-4B05-A06D-B7DDC0AFE7DC}"/>
</file>

<file path=customXml/itemProps4.xml><?xml version="1.0" encoding="utf-8"?>
<ds:datastoreItem xmlns:ds="http://schemas.openxmlformats.org/officeDocument/2006/customXml" ds:itemID="{84969F9C-B845-45EB-9B84-AA64C368EBBA}"/>
</file>

<file path=docProps/app.xml><?xml version="1.0" encoding="utf-8"?>
<Properties xmlns="http://schemas.openxmlformats.org/officeDocument/2006/extended-properties" xmlns:vt="http://schemas.openxmlformats.org/officeDocument/2006/docPropsVTypes">
  <Template>Normal.dotm</Template>
  <TotalTime>39</TotalTime>
  <Pages>19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