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FOREST STRAWBERRY #EU42148F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EU42148F_10%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Linalool, Hexyl cinnamic aldehyde.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paraId="15AF5E6F" w14:textId="5180E34A">
            <w:pPr>
              <w:pStyle w:val="SDSTableTextNormal"/>
              <w:rPr>
                <w:noProof w:val="0"/>
              </w:rPr>
            </w:pPr>
            <w:r w:rsidR="00066C34">
              <w:rPr>
                <w:noProof/>
              </w:rPr>
              <w:t>0.68 – 1.36</w:t>
            </w:r>
          </w:p>
        </w:tc>
        <w:tc>
          <w:tcPr>
            <w:tcW w:w="3118" w:type="dxa"/>
          </w:tcPr>
          <w:p w:rsidR="00827634" w:rsidRPr="00E158AE" w:rsidP="009B0F88" w14:paraId="03C690C9" w14:textId="60F6CE2E">
            <w:pPr>
              <w:pStyle w:val="SDSTableTextNormal"/>
              <w:rPr>
                <w:noProof w:val="0"/>
              </w:rPr>
            </w:pPr>
            <w:r w:rsidR="00066C34">
              <w:rPr>
                <w:noProof/>
              </w:rPr>
              <w:t>Not classified</w:t>
            </w:r>
          </w:p>
        </w:tc>
      </w:tr>
    </w:tbl>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FOREST STRAWBERRY #EU42148F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FOREST STRAWBERRY #EU42148F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0.8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00066C34">
              <w:rPr>
                <w:noProof/>
              </w:rPr>
              <w:t>B(4) - low hazard for aquatic organisms</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Aldehyde C-16, Linalool, Hexyl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FOREST STRAWBERRY #EU42148F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FOREST STRAWBERRY #EU42148F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AF611233-A7BF-4825-85FD-A60A4C1366FF}"/>
</file>

<file path=customXml/itemProps3.xml><?xml version="1.0" encoding="utf-8"?>
<ds:datastoreItem xmlns:ds="http://schemas.openxmlformats.org/officeDocument/2006/customXml" ds:itemID="{C937172F-3A7F-4E9F-B14F-C4233BDF20FB}"/>
</file>

<file path=customXml/itemProps4.xml><?xml version="1.0" encoding="utf-8"?>
<ds:datastoreItem xmlns:ds="http://schemas.openxmlformats.org/officeDocument/2006/customXml" ds:itemID="{3493D381-8507-4B46-B321-D10DCB504250}"/>
</file>

<file path=docProps/app.xml><?xml version="1.0" encoding="utf-8"?>
<Properties xmlns="http://schemas.openxmlformats.org/officeDocument/2006/extended-properties" xmlns:vt="http://schemas.openxmlformats.org/officeDocument/2006/docPropsVTypes">
  <Template>Normal.dotm</Template>
  <TotalTime>39</TotalTime>
  <Pages>9</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