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SIBERIAN FIR RD #EU44107F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EU44107F_5%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Fir Needle oil, Siberian.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Dipropylene glycol monomethyl ether</w:t>
            </w:r>
          </w:p>
          <w:p w:rsidR="00827634" w:rsidRPr="00E158AE" w:rsidP="009B0F88" w14:paraId="147D3D5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paraId="15AF5E6F" w14:textId="5180E34A">
            <w:pPr>
              <w:pStyle w:val="SDSTableTextNormal"/>
              <w:rPr>
                <w:noProof w:val="0"/>
              </w:rPr>
            </w:pPr>
            <w:r w:rsidR="00066C34">
              <w:rPr>
                <w:noProof/>
              </w:rPr>
              <w:t>1.495 – 2.9924</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Fir Needle oil, Siberian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8021-29-2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294-351-9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01-2120738835-44</w:t>
            </w:r>
          </w:p>
        </w:tc>
        <w:tc>
          <w:tcPr>
            <w:tcW w:w="1134" w:type="dxa"/>
          </w:tcPr>
          <w:p w:rsidR="00827634" w:rsidRPr="00E158AE" w:rsidP="009B0F88" w14:textId="5180E34A">
            <w:pPr>
              <w:pStyle w:val="SDSTableTextNormal"/>
              <w:rPr>
                <w:noProof w:val="0"/>
              </w:rPr>
            </w:pPr>
            <w:r w:rsidR="00066C34">
              <w:rPr>
                <w:noProof/>
              </w:rPr>
              <w:t>0.08 – 0.157495</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Skin Sens. 1, H317</w:t>
              <w:br/>
              <w:t>Asp. Tox. 1, H304</w:t>
              <w:b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Fir Needle oil, Siberian (8021-29-2)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10200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1919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SIBERIAN FIR RD #EU44107F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Fir Needle oil, Siberian (8021-29-2)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SIBERIAN FIR RD #EU44107F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0.35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Fir Needle oil, Siberian</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Fir Needle oil, Siberian</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Fir Needle oil, Siberian</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Fir Needle oil, Siberian</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Fir Needle oil, Siberian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Fir Needle oil, Siberian.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SIBERIAN FIR RD #EU44107F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SIBERIAN FIR RD #EU44107F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A080924-0DD6-4B5E-AAD1-5BDAF5C56AB2}"/>
</file>

<file path=customXml/itemProps3.xml><?xml version="1.0" encoding="utf-8"?>
<ds:datastoreItem xmlns:ds="http://schemas.openxmlformats.org/officeDocument/2006/customXml" ds:itemID="{E68645F6-8B07-4886-ABC3-90CB6DE2F2F5}"/>
</file>

<file path=customXml/itemProps4.xml><?xml version="1.0" encoding="utf-8"?>
<ds:datastoreItem xmlns:ds="http://schemas.openxmlformats.org/officeDocument/2006/customXml" ds:itemID="{FB55CCE0-9A4E-46E6-981A-FCC5E12C103F}"/>
</file>

<file path=docProps/app.xml><?xml version="1.0" encoding="utf-8"?>
<Properties xmlns="http://schemas.openxmlformats.org/officeDocument/2006/extended-properties" xmlns:vt="http://schemas.openxmlformats.org/officeDocument/2006/docPropsVTypes">
  <Template>Normal.dotm</Template>
  <TotalTime>12</TotalTime>
  <Pages>14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