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CHOCOLATE ORANGE COOKIE #EU46508F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EU46508F_10%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sensitization,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Hexyl cinnamic aldehyde; Orange oil ; benzyl alcohol; CINNAMAL; Linalyl acetate; citral; Cashmeran</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Hexyl 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paraId="15AF5E6F" w14:textId="5180E34A">
            <w:pPr>
              <w:pStyle w:val="SDSTableTextNormal"/>
              <w:rPr>
                <w:noProof w:val="0"/>
              </w:rPr>
            </w:pPr>
            <w:r w:rsidR="00066C34">
              <w:rPr>
                <w:noProof/>
              </w:rPr>
              <w:t>0.61 – 1.21</w:t>
            </w:r>
          </w:p>
        </w:tc>
        <w:tc>
          <w:tcPr>
            <w:tcW w:w="3118" w:type="dxa"/>
          </w:tcPr>
          <w:p w:rsidR="00827634" w:rsidRPr="00E158AE" w:rsidP="009B0F88" w14:paraId="03C690C9"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Orange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0.43 – 0.85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0.34 – 0.675</w:t>
            </w:r>
          </w:p>
        </w:tc>
        <w:tc>
          <w:tcPr>
            <w:tcW w:w="3118" w:type="dxa"/>
          </w:tcPr>
          <w:p w:rsidR="00827634" w:rsidRPr="00E158AE" w:rsidP="009B0F88"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paraId="147D3D5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0.16 – 0.31</w:t>
            </w:r>
          </w:p>
        </w:tc>
        <w:tc>
          <w:tcPr>
            <w:tcW w:w="3118" w:type="dxa"/>
          </w:tcPr>
          <w:p w:rsidR="00827634" w:rsidRPr="00E158AE" w:rsidP="009B0F88" w14:textId="7E488380">
            <w:pPr>
              <w:pStyle w:val="SDSTableTextNormal"/>
              <w:rPr>
                <w:noProof w:val="0"/>
              </w:rPr>
            </w:pPr>
            <w:r w:rsidRPr="00E158AE">
              <w:rPr>
                <w:noProof/>
              </w:rPr>
              <w:t>Acute Tox. 4 (Oral), H302</w:t>
              <w:br/>
              <w:t>Acute Tox. 4 (Inhalation), H332</w:t>
              <w:b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7E488380">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0.08 – 0.165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104-21-2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203-185-8</w:t>
            </w:r>
          </w:p>
        </w:tc>
        <w:tc>
          <w:tcPr>
            <w:tcW w:w="1134" w:type="dxa"/>
          </w:tcPr>
          <w:p w:rsidR="00827634" w:rsidRPr="00E158AE" w:rsidP="009B0F88" w14:textId="5180E34A">
            <w:pPr>
              <w:pStyle w:val="SDSTableTextNormal"/>
              <w:rPr>
                <w:noProof w:val="0"/>
              </w:rPr>
            </w:pPr>
            <w:r w:rsidR="00066C34">
              <w:rPr>
                <w:noProof/>
              </w:rPr>
              <w:t>0.07 – 0.14</w:t>
            </w:r>
          </w:p>
        </w:tc>
        <w:tc>
          <w:tcPr>
            <w:tcW w:w="3118" w:type="dxa"/>
          </w:tcPr>
          <w:p w:rsidR="00827634" w:rsidRPr="00E158AE" w:rsidP="009B0F88" w14:textId="7E488380">
            <w:pPr>
              <w:pStyle w:val="SDSTableTextNormal"/>
              <w:rPr>
                <w:noProof w:val="0"/>
              </w:rPr>
            </w:pPr>
            <w:r w:rsidRPr="00E158AE">
              <w:rPr>
                <w:noProof/>
              </w:rP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Cashmeran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33704-61-9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251-649-3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01-2119977131-40</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br/>
              <w:t>STOT RE 2, H373</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Isovaleraldehyde</w:t>
            </w:r>
          </w:p>
          <w:p w:rsidR="00827634" w:rsidRPr="00E158AE" w:rsidP="009B0F88" w14:textId="35534033">
            <w:pPr>
              <w:pStyle w:val="SDSTableTextNormal"/>
              <w:rPr>
                <w:noProof w:val="0"/>
              </w:rPr>
            </w:pPr>
            <w:r w:rsidRPr="00E158AE">
              <w:rPr>
                <w:noProof/>
              </w:rPr>
              <w:t>substance with national workplace exposure limit(s) (AT, DE, LT, SI)</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590-86-3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209-691-5</w:t>
            </w:r>
          </w:p>
        </w:tc>
        <w:tc>
          <w:tcPr>
            <w:tcW w:w="1134" w:type="dxa"/>
          </w:tcPr>
          <w:p w:rsidR="00827634" w:rsidRPr="00E158AE" w:rsidP="009B0F88" w14:textId="5180E34A">
            <w:pPr>
              <w:pStyle w:val="SDSTableTextNormal"/>
              <w:rPr>
                <w:noProof w:val="0"/>
              </w:rPr>
            </w:pPr>
            <w:r w:rsidR="00066C34">
              <w:rPr>
                <w:noProof/>
              </w:rPr>
              <w:t>0.02 – 0.04</w:t>
            </w:r>
          </w:p>
        </w:tc>
        <w:tc>
          <w:tcPr>
            <w:tcW w:w="3118" w:type="dxa"/>
          </w:tcPr>
          <w:p w:rsidR="00827634" w:rsidRPr="00E158AE" w:rsidP="009B0F88" w14:textId="7E488380">
            <w:pPr>
              <w:pStyle w:val="SDSTableTextNormal"/>
              <w:rPr>
                <w:noProof w:val="0"/>
              </w:rPr>
            </w:pPr>
            <w:r w:rsidRPr="00E158AE">
              <w:rPr>
                <w:noProof/>
              </w:rPr>
              <w:t>Flam. Liq. 2, H225</w:t>
              <w:br/>
              <w:t>Eye Irrit. 2, H319</w:t>
              <w:br/>
              <w:t>Skin Sens. 1B, H317</w:t>
              <w:br/>
              <w:t>STOT SE 3, H335</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1,2-Propanediol</w:t>
            </w:r>
          </w:p>
          <w:p w:rsidR="00827634" w:rsidRPr="00E158AE" w:rsidP="009B0F88" w14:textId="35534033">
            <w:pPr>
              <w:pStyle w:val="SDSTableTextNormal"/>
              <w:rPr>
                <w:noProof w:val="0"/>
              </w:rPr>
            </w:pPr>
            <w:r w:rsidRPr="00E158AE">
              <w:rPr>
                <w:noProof/>
              </w:rPr>
              <w:t>substance with national workplace exposure limit(s) (GB, HR, IE, LT, LV, PL,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57-55-6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200-338-0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01-2119456809-23</w:t>
            </w:r>
          </w:p>
        </w:tc>
        <w:tc>
          <w:tcPr>
            <w:tcW w:w="1134" w:type="dxa"/>
          </w:tcPr>
          <w:p w:rsidR="00827634" w:rsidRPr="00E158AE" w:rsidP="009B0F88" w14:textId="5180E34A">
            <w:pPr>
              <w:pStyle w:val="SDSTableTextNormal"/>
              <w:rPr>
                <w:noProof w:val="0"/>
              </w:rPr>
            </w:pPr>
            <w:r w:rsidR="00066C34">
              <w:rPr>
                <w:noProof/>
              </w:rPr>
              <w:t>0.01 – 0.016</w:t>
            </w:r>
          </w:p>
        </w:tc>
        <w:tc>
          <w:tcPr>
            <w:tcW w:w="3118" w:type="dxa"/>
          </w:tcPr>
          <w:p w:rsidR="00827634" w:rsidRPr="00E158AE" w:rsidP="009B0F88" w14:textId="7E488380">
            <w:pPr>
              <w:pStyle w:val="SDSTableTextNormal"/>
              <w:rPr>
                <w:noProof w:val="0"/>
              </w:rPr>
            </w:pPr>
            <w:r w:rsidR="00066C34">
              <w:rPr>
                <w:noProof/>
              </w:rPr>
              <w:t>Not classified</w:t>
            </w:r>
          </w:p>
        </w:tc>
      </w:tr>
    </w:tbl>
    <w:p w:rsidR="00B9487F" w:rsidRPr="00E158AE"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Pr>
          <w:p w:rsidR="00827634" w:rsidRPr="00E158AE" w:rsidP="006A5033" w14:paraId="693D4B40" w14:textId="2E2A7D78">
            <w:pPr>
              <w:pStyle w:val="SDSTableTextHeading1"/>
              <w:rPr>
                <w:noProof w:val="0"/>
              </w:rPr>
            </w:pPr>
            <w:r w:rsidR="00066C34">
              <w:rPr>
                <w:noProof/>
              </w:rPr>
              <w:t>Specific concentration limits</w:t>
            </w:r>
            <w:r w:rsidRPr="00E158AE">
              <w:rPr>
                <w:noProof w:val="0"/>
              </w:rPr>
              <w:t>:</w:t>
            </w:r>
          </w:p>
        </w:tc>
      </w:tr>
      <w:tr w14:paraId="4022B8D3" w14:textId="77777777" w:rsidTr="00D066E3">
        <w:tblPrEx>
          <w:tblW w:w="10490" w:type="dxa"/>
          <w:tblLayout w:type="fixed"/>
          <w:tblLook w:val="04A0"/>
        </w:tblPrEx>
        <w:trPr>
          <w:tblHeader/>
        </w:trPr>
        <w:tc>
          <w:tcPr>
            <w:tcW w:w="3969" w:type="dxa"/>
          </w:tcPr>
          <w:p w:rsidR="00827634" w:rsidRPr="00E158AE" w:rsidP="006965F0" w14:paraId="1E4B2AB8" w14:textId="7CDC542D">
            <w:pPr>
              <w:pStyle w:val="SDSTableTextHeading2"/>
              <w:rPr>
                <w:noProof w:val="0"/>
              </w:rPr>
            </w:pPr>
            <w:r w:rsidR="00066C34">
              <w:rPr>
                <w:noProof/>
              </w:rPr>
              <w:t>Name</w:t>
            </w:r>
          </w:p>
        </w:tc>
        <w:tc>
          <w:tcPr>
            <w:tcW w:w="2268" w:type="dxa"/>
          </w:tcPr>
          <w:p w:rsidR="00827634" w:rsidRPr="00E158AE" w:rsidP="006965F0" w14:paraId="44B29236" w14:textId="7E145D0C">
            <w:pPr>
              <w:pStyle w:val="SDSTableTextHeading2"/>
              <w:rPr>
                <w:noProof w:val="0"/>
              </w:rPr>
            </w:pPr>
            <w:r w:rsidR="00066C34">
              <w:rPr>
                <w:noProof/>
              </w:rPr>
              <w:t>Product identifier</w:t>
            </w:r>
          </w:p>
        </w:tc>
        <w:tc>
          <w:tcPr>
            <w:tcW w:w="4253" w:type="dxa"/>
          </w:tcPr>
          <w:p w:rsidR="00827634" w:rsidRPr="00C70EBE" w:rsidP="006965F0" w14:paraId="119FF265" w14:textId="72CAD588">
            <w:pPr>
              <w:pStyle w:val="SDSTableTextHeading2"/>
              <w:rPr>
                <w:noProof w:val="0"/>
                <w:lang w:val="fr-BE"/>
              </w:rPr>
            </w:pPr>
            <w:r w:rsidRPr="00C70EBE" w:rsidR="00066C34">
              <w:rPr>
                <w:noProof/>
                <w:lang w:val="fr-BE"/>
              </w:rPr>
              <w:t>Specific concentration limits</w:t>
            </w:r>
            <w:r w:rsidRPr="00C70EBE" w:rsidR="00C70EBE">
              <w:rPr>
                <w:noProof w:val="0"/>
                <w:lang w:val="fr-BE"/>
              </w:rPr>
              <w:t xml:space="preserve"> </w:t>
            </w:r>
            <w:r w:rsidR="00C70EBE">
              <w:rPr>
                <w:lang w:val="fr-BE"/>
              </w:rPr>
              <w:t>(%)</w:t>
            </w:r>
          </w:p>
        </w:tc>
      </w:tr>
      <w:tr w14:paraId="466CEF48" w14:textId="77777777" w:rsidTr="00D066E3">
        <w:tblPrEx>
          <w:tblW w:w="10490" w:type="dxa"/>
          <w:tblLayout w:type="fixed"/>
          <w:tblLook w:val="04A0"/>
        </w:tblPrEx>
        <w:tc>
          <w:tcPr>
            <w:tcW w:w="3969" w:type="dxa"/>
          </w:tcPr>
          <w:p w:rsidR="00827634" w:rsidRPr="00E158AE" w:rsidP="009B0F88" w14:paraId="0F194FF8" w14:textId="17235E48">
            <w:pPr>
              <w:pStyle w:val="SDSTableTextNormal"/>
              <w:rPr>
                <w:noProof w:val="0"/>
              </w:rPr>
            </w:pPr>
            <w:r w:rsidR="00066C34">
              <w:rPr>
                <w:noProof/>
              </w:rPr>
              <w:t>CINNAMAL</w:t>
            </w:r>
          </w:p>
        </w:tc>
        <w:tc>
          <w:tcPr>
            <w:tcW w:w="2268" w:type="dxa"/>
          </w:tcPr>
          <w:p w:rsidR="00827634" w:rsidRPr="00E158AE" w:rsidP="009B0F88" w14:paraId="6136E091" w14:textId="3F87394D">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paraId="11520CA5" w14:textId="77F7E800">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paraId="13BBD3FC" w14:textId="095CBEC1">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paraId="6D8B4176" w14:textId="6C2085A6">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4253" w:type="dxa"/>
          </w:tcPr>
          <w:p w:rsidR="00827634" w:rsidRPr="00E158AE" w:rsidP="009B0F88" w14:paraId="12970379" w14:textId="79A64A3E">
            <w:pPr>
              <w:pStyle w:val="SDSTableTextNormal"/>
              <w:rPr>
                <w:noProof w:val="0"/>
              </w:rPr>
            </w:pPr>
            <w:r w:rsidRPr="00E158AE">
              <w:rPr>
                <w:noProof/>
              </w:rPr>
              <w:t>(0.01 ≤ C &lt; 100) Skin Sens. 1,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Isovaleraldehyde</w:t>
            </w:r>
            <w:r w:rsidRPr="00E158AE">
              <w:rPr>
                <w:noProof w:val="0"/>
              </w:rPr>
              <w:t xml:space="preserve"> </w:t>
            </w:r>
            <w:r w:rsidRPr="00E158AE" w:rsidR="00FD53E4">
              <w:rPr>
                <w:noProof/>
              </w:rPr>
              <w:t>(590-86-3)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1,2-Propanediol</w:t>
            </w:r>
            <w:r w:rsidRPr="00E158AE">
              <w:rPr>
                <w:noProof w:val="0"/>
              </w:rPr>
              <w:t xml:space="preserve"> </w:t>
            </w:r>
            <w:r w:rsidRPr="00E158AE" w:rsidR="00FD53E4">
              <w:rPr>
                <w:noProof/>
              </w:rPr>
              <w:t>(57-55-6)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474 mg/m³ (total vapor and particles)</w:t>
              <w:br/>
              <w:t>10 mg/m³ (particles)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(particulates)</w:t>
              <w:br/>
              <w:t>470 mg/m³ (total vapour and particulates)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ppm (total vapour and particulates)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1410 mg/m³ (calculated-particulates)</w:t>
              <w:br/>
              <w:t>30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450 ppm (calculated-total vapour and particulates)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7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 (vapor and inhalable fraction)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474 mg/m³ (total vapour and particulates)</w:t>
              <w:br/>
              <w:t>10 mg/m³ (particulates)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150 ppm (total vapour and particulates)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1422 mg/m³ (calculated-total vapour and particulates)</w:t>
              <w:br/>
              <w:t>30 mg/m³ (calculated-particulate)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450 ppm (calculated-total vapour and particulates)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79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118.5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3100 mg/kg body 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5.04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1570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CINNAMAL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2220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 xml:space="preserve"> (104-21-2)</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Cashmeran (33704-61-9)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2685 mg/kg (Source: ECHA_API)</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2900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Isovaleraldehyde (590-86-3)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2730 mg/kg (Source: NLM_CIP)</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2534 mg/kg</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42.7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1,2-Propanediol (57-55-6)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20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20800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Isovaleraldehyde (590-86-3)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Cashmeran (33704-61-9)</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Orange oil  (8008-57-9)</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Cashmeran (33704-61-9)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Isovaleraldehyde (590-86-3)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 3.54 mg/l (Exposure time: 96 h - Species: Pimephales promelas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177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80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78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1,2-Propanediol (57-55-6)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51600 mg/l (Exposure time: 96 h - Species: Oncorhynchus mykiss [static]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 – 47 ml/l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&gt; 1000 mg/l (Exposure time: 48 h - Species: Daphnia magna [Static])</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19000 mg/l (Species: Pseudokirchneriella subcapitata)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CHOCOLATE ORANGE COOKIE #EU46508F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Orange oil  (8008-57-9)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1,3,4,6,7,8-hexahydro-4,6,6,7,8,8-hexamethylindeno[5,6-c]pyran, galaxolide, (HHCB) (1222-05-5)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alcohol (100-51-6)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CINNAMAL (104-55-2)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 xml:space="preserve"> (104-21-2)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Cashmeran (33704-61-9)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Isovaleraldehyde (590-86-3)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1,2-Propanediol (57-55-6)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CHOCOLATE ORANGE COOKIE #EU46508F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CINNAMAL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 xml:space="preserve"> (104-21-2)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Cashmeran (33704-61-9)</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(81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4.2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Isovaleraldehyde (590-86-3)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1.5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1,2-Propanediol (57-55-6)</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(1 dimensionless)</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Pr="00E158AE">
              <w:rPr>
                <w:noProof/>
              </w:rPr>
              <w:t>-1.07 (at 20.5 °C (at pH &gt;=6.2-&lt;=6.4)</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Orange oil  ; Isovaleraldehyde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CHOCOLATE ORANGE COOKIE #EU46508F 10% in DPG ; Hexyl cinnamic aldehyde ; Orange oil  ; benzyl alcohol ; CINNAMAL ; Linalyl acetate ;  ; citral ; Cashmeran ; Isovaleraldehyde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CHOCOLATE ORANGE COOKIE #EU46508F 10% in DPG ; Hexyl cinnamic aldehyde ; Orange oil  ; 1,3,4,6,7,8-hexahydro-4,6,6,7,8,8-hexamethylindeno[5,6-c]pyran, galaxolide, (HHCB) ; CINNAMAL ; Cashmeran ; Isovaleraldehyde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Orange oil  ; Isovaleraldehyde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Professional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(inhalation)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sensitization,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9/25/2024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17</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9/25/2024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CHOCOLATE ORANGE COOKIE #EU46508F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CHOCOLATE ORANGE COOKIE #EU46508F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9/25/2024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838F527B-B035-4B3B-B1CC-62C6075FF4A5}"/>
</file>

<file path=customXml/itemProps3.xml><?xml version="1.0" encoding="utf-8"?>
<ds:datastoreItem xmlns:ds="http://schemas.openxmlformats.org/officeDocument/2006/customXml" ds:itemID="{C83C1B5C-7F8F-4910-8B4C-BDD3B47734DA}"/>
</file>

<file path=customXml/itemProps4.xml><?xml version="1.0" encoding="utf-8"?>
<ds:datastoreItem xmlns:ds="http://schemas.openxmlformats.org/officeDocument/2006/customXml" ds:itemID="{9DB124D3-51E7-4566-B955-69A16F4465F9}"/>
</file>

<file path=docProps/app.xml><?xml version="1.0" encoding="utf-8"?>
<Properties xmlns="http://schemas.openxmlformats.org/officeDocument/2006/extended-properties" xmlns:vt="http://schemas.openxmlformats.org/officeDocument/2006/docPropsVTypes">
  <Template>Normal.dotm</Template>
  <TotalTime>12</TotalTime>
  <Pages>17</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