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CHOCOLATE ORANGE COOKIE #EU46508F 25%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EU46508F_25%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sensitization,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Hexyl cinnamic aldehyde; Orange oil ; benzyl alcohol; CINNAMAL; Linalyl acetate; citral; Cashmeran; Heliotropine; Isovaleraldehyde; 3(2H)-Furanone, 4-hydroxy-2,5-dimethyl-</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Restricted to professional users.</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Hexyl cinnamic aldehyde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paraId="15AF5E6F" w14:textId="5180E34A">
            <w:pPr>
              <w:pStyle w:val="SDSTableTextNormal"/>
              <w:rPr>
                <w:noProof w:val="0"/>
              </w:rPr>
            </w:pPr>
            <w:r w:rsidR="00066C34">
              <w:rPr>
                <w:noProof/>
              </w:rPr>
              <w:t>1.525 – 3.025</w:t>
            </w:r>
          </w:p>
        </w:tc>
        <w:tc>
          <w:tcPr>
            <w:tcW w:w="3118" w:type="dxa"/>
          </w:tcPr>
          <w:p w:rsidR="00827634" w:rsidRPr="00E158AE" w:rsidP="009B0F88" w14:paraId="03C690C9" w14:textId="7E488380">
            <w:pPr>
              <w:pStyle w:val="SDSTableTextNormal"/>
              <w:rPr>
                <w:noProof w:val="0"/>
              </w:rPr>
            </w:pPr>
            <w:r w:rsidRPr="00E158AE">
              <w:rPr>
                <w:noProof/>
              </w:rP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 xml:space="preserve">Orange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8008-57-9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232-433-8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1.075 – 2.125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Asp. Tox. 1, H304</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vanillin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121-32-4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204-464-7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01-211958961-24</w:t>
            </w:r>
          </w:p>
        </w:tc>
        <w:tc>
          <w:tcPr>
            <w:tcW w:w="1134" w:type="dxa"/>
          </w:tcPr>
          <w:p w:rsidR="00827634" w:rsidRPr="00E158AE" w:rsidP="009B0F88" w14:textId="5180E34A">
            <w:pPr>
              <w:pStyle w:val="SDSTableTextNormal"/>
              <w:rPr>
                <w:noProof w:val="0"/>
              </w:rPr>
            </w:pPr>
            <w:r w:rsidR="00066C34">
              <w:rPr>
                <w:noProof/>
              </w:rPr>
              <w:t>1.075 – 2.125</w:t>
            </w:r>
          </w:p>
        </w:tc>
        <w:tc>
          <w:tcPr>
            <w:tcW w:w="3118" w:type="dxa"/>
          </w:tcPr>
          <w:p w:rsidR="00827634" w:rsidRPr="00E158AE" w:rsidP="009B0F88" w14:textId="7E488380">
            <w:pPr>
              <w:pStyle w:val="SDSTableTextNormal"/>
              <w:rPr>
                <w:noProof w:val="0"/>
              </w:rPr>
            </w:pPr>
            <w:r w:rsidRPr="00E158AE">
              <w:rPr>
                <w:noProof/>
              </w:rP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1,3,4,6,7,8-hexahydro-4,6,6,7,8,8-hexamethylindeno[5,6-c]pyran, galaxolide, (HHCB)</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0.85 – 1.6875</w:t>
            </w:r>
          </w:p>
        </w:tc>
        <w:tc>
          <w:tcPr>
            <w:tcW w:w="3118" w:type="dxa"/>
          </w:tcPr>
          <w:p w:rsidR="00827634" w:rsidRPr="00E158AE" w:rsidP="009B0F88" w14:textId="7E488380">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alcohol</w:t>
            </w:r>
          </w:p>
          <w:p w:rsidR="00827634" w:rsidRPr="00E158AE" w:rsidP="009B0F88" w14:paraId="147D3D58" w14:textId="35534033">
            <w:pPr>
              <w:pStyle w:val="SDSTableTextNormal"/>
              <w:rPr>
                <w:noProof w:val="0"/>
              </w:rPr>
            </w:pPr>
            <w:r w:rsidRPr="00E158AE">
              <w:rPr>
                <w:noProof/>
              </w:rPr>
              <w:t>substance with national workplace exposure limit(s) (BG, CZ, DE, FI, LT, LV, PL,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100-51-6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202-859-9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603-057-00-5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01-2119492630-38</w:t>
            </w:r>
          </w:p>
        </w:tc>
        <w:tc>
          <w:tcPr>
            <w:tcW w:w="1134" w:type="dxa"/>
          </w:tcPr>
          <w:p w:rsidR="00827634" w:rsidRPr="00E158AE" w:rsidP="009B0F88" w14:textId="5180E34A">
            <w:pPr>
              <w:pStyle w:val="SDSTableTextNormal"/>
              <w:rPr>
                <w:noProof w:val="0"/>
              </w:rPr>
            </w:pPr>
            <w:r w:rsidR="00066C34">
              <w:rPr>
                <w:noProof/>
              </w:rPr>
              <w:t>0.4 – 0.775</w:t>
            </w:r>
          </w:p>
        </w:tc>
        <w:tc>
          <w:tcPr>
            <w:tcW w:w="3118" w:type="dxa"/>
          </w:tcPr>
          <w:p w:rsidR="00827634" w:rsidRPr="00E158AE" w:rsidP="009B0F88" w14:textId="7E488380">
            <w:pPr>
              <w:pStyle w:val="SDSTableTextNormal"/>
              <w:rPr>
                <w:noProof w:val="0"/>
              </w:rPr>
            </w:pPr>
            <w:r w:rsidRPr="00E158AE">
              <w:rPr>
                <w:noProof/>
              </w:rPr>
              <w:t>Acute Tox. 4 (Oral), H302</w:t>
              <w:br/>
              <w:t>Acute Tox. 4 (Inhalation), H332</w:t>
              <w:b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606-155-00-6</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1134" w:type="dxa"/>
          </w:tcPr>
          <w:p w:rsidR="00827634" w:rsidRPr="00E158AE" w:rsidP="009B0F88" w14:textId="5180E34A">
            <w:pPr>
              <w:pStyle w:val="SDSTableTextNormal"/>
              <w:rPr>
                <w:noProof w:val="0"/>
              </w:rPr>
            </w:pPr>
            <w:r w:rsidR="00066C34">
              <w:rPr>
                <w:noProof/>
              </w:rPr>
              <w:t>0.25 – 0.5</w:t>
            </w:r>
          </w:p>
        </w:tc>
        <w:tc>
          <w:tcPr>
            <w:tcW w:w="3118" w:type="dxa"/>
          </w:tcPr>
          <w:p w:rsidR="00827634" w:rsidRPr="00E158AE" w:rsidP="009B0F88" w14:textId="7E488380">
            <w:pPr>
              <w:pStyle w:val="SDSTableTextNormal"/>
              <w:rPr>
                <w:noProof w:val="0"/>
              </w:rPr>
            </w:pPr>
            <w:r w:rsidRPr="00E158AE">
              <w:rPr>
                <w:noProof/>
              </w:rPr>
              <w:t>Acute Tox. 4 (Dermal), H312</w:t>
              <w:br/>
              <w:t>Skin Irrit. 2, H315</w:t>
              <w:br/>
              <w:t>Eye Irrit. 2, H319</w:t>
              <w:br/>
              <w:t>Skin Sens. 1A,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115-95-7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204-116-4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01-2119454789-19</w:t>
            </w:r>
          </w:p>
        </w:tc>
        <w:tc>
          <w:tcPr>
            <w:tcW w:w="1134" w:type="dxa"/>
          </w:tcPr>
          <w:p w:rsidR="00827634" w:rsidRPr="00E158AE" w:rsidP="009B0F88" w14:textId="5180E34A">
            <w:pPr>
              <w:pStyle w:val="SDSTableTextNormal"/>
              <w:rPr>
                <w:noProof w:val="0"/>
              </w:rPr>
            </w:pPr>
            <w:r w:rsidR="00066C34">
              <w:rPr>
                <w:noProof/>
              </w:rPr>
              <w:t>0.2 – 0.4125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104-21-2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203-185-8</w:t>
            </w:r>
          </w:p>
        </w:tc>
        <w:tc>
          <w:tcPr>
            <w:tcW w:w="1134" w:type="dxa"/>
          </w:tcPr>
          <w:p w:rsidR="00827634" w:rsidRPr="00E158AE" w:rsidP="009B0F88" w14:textId="5180E34A">
            <w:pPr>
              <w:pStyle w:val="SDSTableTextNormal"/>
              <w:rPr>
                <w:noProof w:val="0"/>
              </w:rPr>
            </w:pPr>
            <w:r w:rsidR="00066C34">
              <w:rPr>
                <w:noProof/>
              </w:rPr>
              <w:t>0.175 – 0.35</w:t>
            </w:r>
          </w:p>
        </w:tc>
        <w:tc>
          <w:tcPr>
            <w:tcW w:w="3118" w:type="dxa"/>
          </w:tcPr>
          <w:p w:rsidR="00827634" w:rsidRPr="00E158AE" w:rsidP="009B0F88" w14:textId="7E488380">
            <w:pPr>
              <w:pStyle w:val="SDSTableTextNormal"/>
              <w:rPr>
                <w:noProof w:val="0"/>
              </w:rPr>
            </w:pPr>
            <w:r w:rsidRPr="00E158AE">
              <w:rPr>
                <w:noProof/>
              </w:rP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citral</w:t>
            </w:r>
          </w:p>
          <w:p w:rsidR="00827634" w:rsidRPr="00E158AE" w:rsidP="009B0F88" w14:textId="35534033">
            <w:pPr>
              <w:pStyle w:val="SDSTableTextNormal"/>
              <w:rPr>
                <w:noProof w:val="0"/>
              </w:rPr>
            </w:pPr>
            <w:r w:rsidRPr="00E158AE">
              <w:rPr>
                <w:noProof/>
              </w:rPr>
              <w:t>substance with national workplace exposure limit(s) (BE, ES, IE, PL, PT)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5392-40-5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226-394-6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605-019-00-3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01-2119462829-23</w:t>
            </w:r>
          </w:p>
        </w:tc>
        <w:tc>
          <w:tcPr>
            <w:tcW w:w="1134" w:type="dxa"/>
          </w:tcPr>
          <w:p w:rsidR="00827634" w:rsidRPr="00E158AE" w:rsidP="009B0F88" w14:textId="5180E34A">
            <w:pPr>
              <w:pStyle w:val="SDSTableTextNormal"/>
              <w:rPr>
                <w:noProof w:val="0"/>
              </w:rPr>
            </w:pPr>
            <w:r w:rsidR="00066C34">
              <w:rPr>
                <w:noProof/>
              </w:rPr>
              <w:t>0.125 – 0.25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Cashmeran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33704-61-9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251-649-3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01-2119977131-40</w:t>
            </w:r>
          </w:p>
        </w:tc>
        <w:tc>
          <w:tcPr>
            <w:tcW w:w="1134" w:type="dxa"/>
          </w:tcPr>
          <w:p w:rsidR="00827634" w:rsidRPr="00E158AE" w:rsidP="009B0F88" w14:textId="5180E34A">
            <w:pPr>
              <w:pStyle w:val="SDSTableTextNormal"/>
              <w:rPr>
                <w:noProof w:val="0"/>
              </w:rPr>
            </w:pPr>
            <w:r w:rsidR="00066C34">
              <w:rPr>
                <w:noProof/>
              </w:rPr>
              <w:t>0.125 – 0.25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br/>
              <w:t>STOT RE 2, H373</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Heliotropine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120-57-0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204-409-7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01-2119983608-21</w:t>
            </w:r>
          </w:p>
        </w:tc>
        <w:tc>
          <w:tcPr>
            <w:tcW w:w="1134" w:type="dxa"/>
          </w:tcPr>
          <w:p w:rsidR="00827634" w:rsidRPr="00E158AE" w:rsidP="009B0F88" w14:textId="5180E34A">
            <w:pPr>
              <w:pStyle w:val="SDSTableTextNormal"/>
              <w:rPr>
                <w:noProof w:val="0"/>
              </w:rPr>
            </w:pPr>
            <w:r w:rsidR="00066C34">
              <w:rPr>
                <w:noProof/>
              </w:rPr>
              <w:t>0.075 – 0.125</w:t>
            </w:r>
          </w:p>
        </w:tc>
        <w:tc>
          <w:tcPr>
            <w:tcW w:w="3118" w:type="dxa"/>
          </w:tcPr>
          <w:p w:rsidR="00827634" w:rsidRPr="00E158AE" w:rsidP="009B0F88" w14:textId="7E488380">
            <w:pPr>
              <w:pStyle w:val="SDSTableTextNormal"/>
              <w:rPr>
                <w:noProof w:val="0"/>
              </w:rPr>
            </w:pPr>
            <w:r w:rsidRPr="00E158AE">
              <w:rPr>
                <w:noProof/>
              </w:rP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Isovaleraldehyde</w:t>
            </w:r>
          </w:p>
          <w:p w:rsidR="00827634" w:rsidRPr="00E158AE" w:rsidP="009B0F88" w14:textId="35534033">
            <w:pPr>
              <w:pStyle w:val="SDSTableTextNormal"/>
              <w:rPr>
                <w:noProof w:val="0"/>
              </w:rPr>
            </w:pPr>
            <w:r w:rsidRPr="00E158AE">
              <w:rPr>
                <w:noProof/>
              </w:rPr>
              <w:t>substance with national workplace exposure limit(s) (AT, DE, LT, SI)</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590-86-3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209-691-5</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7E488380">
            <w:pPr>
              <w:pStyle w:val="SDSTableTextNormal"/>
              <w:rPr>
                <w:noProof w:val="0"/>
              </w:rPr>
            </w:pPr>
            <w:r w:rsidRPr="00E158AE">
              <w:rPr>
                <w:noProof/>
              </w:rPr>
              <w:t>Flam. Liq. 2, H225</w:t>
              <w:br/>
              <w:t>Eye Irrit. 2, H319</w:t>
              <w:br/>
              <w:t>Skin Sens. 1B, H317</w:t>
              <w:br/>
              <w:t>STOT SE 3, H335</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1,2-Propanediol</w:t>
            </w:r>
          </w:p>
          <w:p w:rsidR="00827634" w:rsidRPr="00E158AE" w:rsidP="009B0F88" w14:textId="35534033">
            <w:pPr>
              <w:pStyle w:val="SDSTableTextNormal"/>
              <w:rPr>
                <w:noProof w:val="0"/>
              </w:rPr>
            </w:pPr>
            <w:r w:rsidRPr="00E158AE">
              <w:rPr>
                <w:noProof/>
              </w:rPr>
              <w:t>substance with national workplace exposure limit(s) (GB, HR, IE, LT, LV, PL,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57-55-6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200-338-0</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01-2119456809-23</w:t>
            </w:r>
          </w:p>
        </w:tc>
        <w:tc>
          <w:tcPr>
            <w:tcW w:w="1134" w:type="dxa"/>
          </w:tcPr>
          <w:p w:rsidR="00827634" w:rsidRPr="00E158AE" w:rsidP="009B0F88" w14:textId="5180E34A">
            <w:pPr>
              <w:pStyle w:val="SDSTableTextNormal"/>
              <w:rPr>
                <w:noProof w:val="0"/>
              </w:rPr>
            </w:pPr>
            <w:r w:rsidR="00066C34">
              <w:rPr>
                <w:noProof/>
              </w:rPr>
              <w:t>0.025 – 0.04</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3(2H)-Furanone, 4-hydroxy-2,5-dimethyl-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3658-77-3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222-908-8</w:t>
            </w:r>
          </w:p>
        </w:tc>
        <w:tc>
          <w:tcPr>
            <w:tcW w:w="1134" w:type="dxa"/>
          </w:tcPr>
          <w:p w:rsidR="00827634" w:rsidRPr="00E158AE" w:rsidP="009B0F88" w14:textId="5180E34A">
            <w:pPr>
              <w:pStyle w:val="SDSTableTextNormal"/>
              <w:rPr>
                <w:noProof w:val="0"/>
              </w:rPr>
            </w:pPr>
            <w:r w:rsidR="00066C34">
              <w:rPr>
                <w:noProof/>
              </w:rPr>
              <w:t>0 – 0.01</w:t>
            </w:r>
          </w:p>
        </w:tc>
        <w:tc>
          <w:tcPr>
            <w:tcW w:w="3118" w:type="dxa"/>
          </w:tcPr>
          <w:p w:rsidR="00827634" w:rsidRPr="00E158AE" w:rsidP="009B0F88" w14:textId="7E488380">
            <w:pPr>
              <w:pStyle w:val="SDSTableTextNormal"/>
              <w:rPr>
                <w:noProof w:val="0"/>
              </w:rPr>
            </w:pPr>
            <w:r w:rsidRPr="00E158AE">
              <w:rPr>
                <w:noProof/>
              </w:rPr>
              <w:t>Acute Tox. 4 (Oral), H302</w:t>
              <w:br/>
              <w:t>Skin Corr. 1B, H314</w:t>
              <w:br/>
              <w:t>Eye Irrit. 2, H319</w:t>
              <w:br/>
              <w:t>Skin Sens. 1A, H317</w:t>
            </w:r>
          </w:p>
        </w:tc>
      </w:tr>
    </w:tbl>
    <w:p w:rsidR="00B9487F" w:rsidRPr="00E158AE"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Pr>
          <w:p w:rsidR="00827634" w:rsidRPr="00E158AE" w:rsidP="006A5033" w14:paraId="693D4B40" w14:textId="2E2A7D78">
            <w:pPr>
              <w:pStyle w:val="SDSTableTextHeading1"/>
              <w:rPr>
                <w:noProof w:val="0"/>
              </w:rPr>
            </w:pPr>
            <w:r w:rsidR="00066C34">
              <w:rPr>
                <w:noProof/>
              </w:rPr>
              <w:t>Specific concentration limits</w:t>
            </w:r>
            <w:r w:rsidRPr="00E158AE">
              <w:rPr>
                <w:noProof w:val="0"/>
              </w:rPr>
              <w:t>:</w:t>
            </w:r>
          </w:p>
        </w:tc>
      </w:tr>
      <w:tr w14:paraId="4022B8D3" w14:textId="77777777" w:rsidTr="00D066E3">
        <w:tblPrEx>
          <w:tblW w:w="10490" w:type="dxa"/>
          <w:tblLayout w:type="fixed"/>
          <w:tblLook w:val="04A0"/>
        </w:tblPrEx>
        <w:trPr>
          <w:tblHeader/>
        </w:trPr>
        <w:tc>
          <w:tcPr>
            <w:tcW w:w="3969" w:type="dxa"/>
          </w:tcPr>
          <w:p w:rsidR="00827634" w:rsidRPr="00E158AE" w:rsidP="006965F0" w14:paraId="1E4B2AB8" w14:textId="7CDC542D">
            <w:pPr>
              <w:pStyle w:val="SDSTableTextHeading2"/>
              <w:rPr>
                <w:noProof w:val="0"/>
              </w:rPr>
            </w:pPr>
            <w:r w:rsidR="00066C34">
              <w:rPr>
                <w:noProof/>
              </w:rPr>
              <w:t>Name</w:t>
            </w:r>
          </w:p>
        </w:tc>
        <w:tc>
          <w:tcPr>
            <w:tcW w:w="2268" w:type="dxa"/>
          </w:tcPr>
          <w:p w:rsidR="00827634" w:rsidRPr="00E158AE" w:rsidP="006965F0" w14:paraId="44B29236" w14:textId="7E145D0C">
            <w:pPr>
              <w:pStyle w:val="SDSTableTextHeading2"/>
              <w:rPr>
                <w:noProof w:val="0"/>
              </w:rPr>
            </w:pPr>
            <w:r w:rsidR="00066C34">
              <w:rPr>
                <w:noProof/>
              </w:rPr>
              <w:t>Product identifier</w:t>
            </w:r>
          </w:p>
        </w:tc>
        <w:tc>
          <w:tcPr>
            <w:tcW w:w="4253" w:type="dxa"/>
          </w:tcPr>
          <w:p w:rsidR="00827634" w:rsidRPr="00C70EBE" w:rsidP="006965F0" w14:paraId="119FF265" w14:textId="72CAD588">
            <w:pPr>
              <w:pStyle w:val="SDSTableTextHeading2"/>
              <w:rPr>
                <w:noProof w:val="0"/>
                <w:lang w:val="fr-BE"/>
              </w:rPr>
            </w:pPr>
            <w:r w:rsidRPr="00C70EBE" w:rsidR="00066C34">
              <w:rPr>
                <w:noProof/>
                <w:lang w:val="fr-BE"/>
              </w:rPr>
              <w:t>Specific concentration limits</w:t>
            </w:r>
            <w:r w:rsidRPr="00C70EBE" w:rsidR="00C70EBE">
              <w:rPr>
                <w:noProof w:val="0"/>
                <w:lang w:val="fr-BE"/>
              </w:rPr>
              <w:t xml:space="preserve"> </w:t>
            </w:r>
            <w:r w:rsidR="00C70EBE">
              <w:rPr>
                <w:lang w:val="fr-BE"/>
              </w:rPr>
              <w:t>(%)</w:t>
            </w:r>
          </w:p>
        </w:tc>
      </w:tr>
      <w:tr w14:paraId="466CEF48" w14:textId="77777777" w:rsidTr="00D066E3">
        <w:tblPrEx>
          <w:tblW w:w="10490" w:type="dxa"/>
          <w:tblLayout w:type="fixed"/>
          <w:tblLook w:val="04A0"/>
        </w:tblPrEx>
        <w:tc>
          <w:tcPr>
            <w:tcW w:w="3969" w:type="dxa"/>
          </w:tcPr>
          <w:p w:rsidR="00827634" w:rsidRPr="00E158AE" w:rsidP="009B0F88" w14:paraId="0F194FF8" w14:textId="17235E48">
            <w:pPr>
              <w:pStyle w:val="SDSTableTextNormal"/>
              <w:rPr>
                <w:noProof w:val="0"/>
              </w:rPr>
            </w:pPr>
            <w:r w:rsidR="00066C34">
              <w:rPr>
                <w:noProof/>
              </w:rPr>
              <w:t>CINNAMAL</w:t>
            </w:r>
          </w:p>
        </w:tc>
        <w:tc>
          <w:tcPr>
            <w:tcW w:w="2268" w:type="dxa"/>
          </w:tcPr>
          <w:p w:rsidR="00827634" w:rsidRPr="00E158AE" w:rsidP="009B0F88" w14:paraId="6136E091" w14:textId="3F87394D">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paraId="11520CA5" w14:textId="77F7E800">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paraId="13BBD3FC" w14:textId="095CBEC1">
            <w:pPr>
              <w:pStyle w:val="SDSTableTextNormal"/>
              <w:rPr>
                <w:noProof w:val="0"/>
              </w:rPr>
            </w:pPr>
            <w:r w:rsidR="00066C34">
              <w:rPr>
                <w:noProof/>
              </w:rPr>
              <w:t>EC Index-No.</w:t>
            </w:r>
            <w:r w:rsidRPr="00E158AE" w:rsidR="004A0E0E">
              <w:rPr>
                <w:noProof w:val="0"/>
              </w:rPr>
              <w:t xml:space="preserve">: </w:t>
            </w:r>
            <w:r w:rsidR="00066C34">
              <w:rPr>
                <w:noProof/>
              </w:rPr>
              <w:t>606-155-00-6</w:t>
            </w:r>
          </w:p>
          <w:p w:rsidR="00827634" w:rsidRPr="00E158AE" w:rsidP="009B0F88" w14:paraId="6D8B4176" w14:textId="6C2085A6">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4253" w:type="dxa"/>
          </w:tcPr>
          <w:p w:rsidR="00827634" w:rsidRPr="00E158AE" w:rsidP="009B0F88" w14:paraId="12970379" w14:textId="79A64A3E">
            <w:pPr>
              <w:pStyle w:val="SDSTableTextNormal"/>
              <w:rPr>
                <w:noProof w:val="0"/>
              </w:rPr>
            </w:pPr>
            <w:r w:rsidRPr="00E158AE">
              <w:rPr>
                <w:noProof/>
              </w:rPr>
              <w:t>(0.01 ≤ C &lt; 100) Skin Sens. 1, H317</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fire-fighting water from entering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Heading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benzyl alcohol</w:t>
            </w:r>
            <w:r w:rsidRPr="00E158AE">
              <w:rPr>
                <w:noProof w:val="0"/>
              </w:rPr>
              <w:t xml:space="preserve"> </w:t>
            </w:r>
            <w:r w:rsidRPr="00E158AE" w:rsidR="00FD53E4">
              <w:rPr>
                <w:noProof/>
              </w:rPr>
              <w:t>(100-51-6)</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22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22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citral</w:t>
            </w:r>
            <w:r w:rsidRPr="00E158AE">
              <w:rPr>
                <w:noProof w:val="0"/>
              </w:rPr>
              <w:t xml:space="preserve"> </w:t>
            </w:r>
            <w:r w:rsidRPr="00E158AE" w:rsidR="00FD53E4">
              <w:rPr>
                <w:noProof/>
              </w:rPr>
              <w:t>(5392-40-5)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32 mg/m³ (vapor and aerosol)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(inhalable fraction;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 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Skin - potential significant contribution to overall exposure by the cutaneous route,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Isovaleraldehyde</w:t>
            </w:r>
            <w:r w:rsidRPr="00E158AE">
              <w:rPr>
                <w:noProof w:val="0"/>
              </w:rPr>
              <w:t xml:space="preserve"> </w:t>
            </w:r>
            <w:r w:rsidRPr="00E158AE" w:rsidR="00FD53E4">
              <w:rPr>
                <w:noProof/>
              </w:rPr>
              <w:t>(590-86-3)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1,2-Propanediol</w:t>
            </w:r>
            <w:r w:rsidRPr="00E158AE">
              <w:rPr>
                <w:noProof w:val="0"/>
              </w:rPr>
              <w:t xml:space="preserve"> </w:t>
            </w:r>
            <w:r w:rsidRPr="00E158AE" w:rsidR="00FD53E4">
              <w:rPr>
                <w:noProof/>
              </w:rPr>
              <w:t>(57-55-6)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474 mg/m³ (total vapor and particles)</w:t>
              <w:br/>
              <w:t>10 mg/m³ (particles)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 (particulates)</w:t>
              <w:br/>
              <w:t>470 mg/m³ (total vapour and particulates)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ppm (total vapour and particulates)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1410 mg/m³ (calculated-particulates)</w:t>
              <w:br/>
              <w:t>30 mg/m³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450 ppm (calculated-total vapour and particulates)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7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100 mg/m³ (vapor and inhalable fraction)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474 mg/m³ (total vapour and particulates)</w:t>
              <w:br/>
              <w:t>10 mg/m³ (particulates)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150 ppm (total vapour and particulates)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1422 mg/m³ (calculated-total vapour and particulates)</w:t>
              <w:br/>
              <w:t>30 mg/m³ (calculated-particulate)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450 ppm (calculated-total vapour and particulates)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79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118.5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3100 mg/kg body 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Orange oil  (8008-57-9)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vanillin (121-32-4)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1590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3000 mg/kg body 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1,3,4,6,7,8-hexahydro-4,6,6,7,8,8-hexamethylindeno[5,6-c]pyran, galaxolide, (HHCB)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3250 mg/kg (Source: CHEMVIEW)</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&gt; 5.04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alcohol (100-51-6)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1230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1570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CINNAMAL (104-55-2)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2220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1260 mg/kg (Source: EPA_HPV)</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Linalyl acetate (115-95-7)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14550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ECHA)</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18.94 mg/l (Exposure time: 8 h Source: ECHA)</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 xml:space="preserve"> (104-21-2)</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citral (5392-40-5)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4960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2250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Cashmeran (33704-61-9)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2685 mg/kg (Source: ECHA_API)</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2900 mg/kg body 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Heliotropine (120-57-0)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2700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2700 mg/kg body 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Isovaleraldehyde (590-86-3)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5600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2730 mg/kg (Source: NLM_CIP)</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2534 mg/kg</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42.7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1,2-Propanediol (57-55-6)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20 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20800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3(2H)-Furanone, 4-hydroxy-2,5-dimethyl- (3658-77-3)</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1608 mg/kg body weight</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sensitization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Isovaleraldehyde (590-86-3)</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respiratory irritation.</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827634" w:rsidRPr="00E158AE" w:rsidP="002B741C" w14:textId="3F454995">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Pr>
          <w:p w:rsidR="00827634" w:rsidRPr="00E158AE" w:rsidP="00F47054" w14:textId="2C337230">
            <w:pPr>
              <w:pStyle w:val="SDSTableTextHeading1"/>
              <w:rPr>
                <w:noProof w:val="0"/>
              </w:rPr>
            </w:pPr>
            <w:r w:rsidR="00066C34">
              <w:rPr>
                <w:noProof/>
              </w:rPr>
              <w:t>Cashmeran (33704-61-9)</w:t>
            </w:r>
          </w:p>
        </w:tc>
      </w:tr>
      <w:tr w14:paraId="284BEFF8" w14:textId="77777777" w:rsidTr="00C27070">
        <w:tblPrEx>
          <w:tblW w:w="10489" w:type="dxa"/>
          <w:tblLayout w:type="fixed"/>
          <w:tblLook w:val="04A0"/>
        </w:tblPrEx>
        <w:tc>
          <w:tcPr>
            <w:tcW w:w="3969" w:type="dxa"/>
          </w:tcPr>
          <w:p w:rsidR="00DF0C3A" w:rsidRPr="00E158AE" w:rsidP="009B0F88" w14:paraId="3AFF7EC2" w14:textId="4794154D">
            <w:pPr>
              <w:pStyle w:val="SDSTableTextNormal"/>
              <w:rPr>
                <w:noProof w:val="0"/>
              </w:rPr>
            </w:pPr>
            <w:r w:rsidR="00066C34">
              <w:rPr>
                <w:noProof/>
              </w:rPr>
              <w:t>STOT-repeated exposure</w:t>
            </w:r>
          </w:p>
        </w:tc>
        <w:tc>
          <w:tcPr>
            <w:tcW w:w="6520" w:type="dxa"/>
          </w:tcPr>
          <w:p w:rsidR="00DF0C3A" w:rsidRPr="00E158AE" w:rsidP="009B0F88" w14:paraId="76AEBB14" w14:textId="7D9F1DF9">
            <w:pPr>
              <w:pStyle w:val="SDSTableTextNormal"/>
              <w:rPr>
                <w:noProof w:val="0"/>
              </w:rPr>
            </w:pPr>
            <w:r w:rsidRPr="00E158AE">
              <w:rPr>
                <w:noProof/>
              </w:rPr>
              <w:t>May cause damage to organs through prolonged or repeated exposure.</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Orange oil  (8008-57-9)</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Heliotropine (120-57-0)</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Not applicable</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vanillin (121-32-4)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81.4 – 94.3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1,3,4,6,7,8-hexahydro-4,6,6,7,8,8-hexamethylindeno[5,6-c]pyran, galaxolide, (HHCB) (1222-05-5)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alcohol (100-51-6)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460 mg/l (Exposure time: 96 h - Species: Pimephales promelas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10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23 mg/l (Exposure time: 48 h - Species: water flea)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Linalyl acetate (115-95-7)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11 mg/l (Exposure time: 96 h - Species: Cyprinus carpio [flow-through]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citral (5392-40-5)</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16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19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Cashmeran (33704-61-9)</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Heliotropine (120-57-0)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2.5 mg/l (Exposure time: 96 h - Species: Cyprinus carpio [static]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Isovaleraldehyde (590-86-3)</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2.98 – 3.54 mg/l (Exposure time: 96 h - Species: Pimephales promelas [flow-through]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177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00066C34">
              <w:rPr>
                <w:noProof/>
              </w:rPr>
              <w:t>80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textId="56866EF7">
            <w:pPr>
              <w:pStyle w:val="SDSTableTextNormal"/>
              <w:rPr>
                <w:noProof w:val="0"/>
              </w:rPr>
            </w:pPr>
            <w:r w:rsidR="00066C34">
              <w:rPr>
                <w:noProof/>
              </w:rPr>
              <w:t>EC50 96h - Algae [1]</w:t>
            </w:r>
          </w:p>
        </w:tc>
        <w:tc>
          <w:tcPr>
            <w:tcW w:w="6520" w:type="dxa"/>
          </w:tcPr>
          <w:p w:rsidR="00827634" w:rsidRPr="00E158AE" w:rsidP="009B0F88" w14:textId="2EA0BDE9">
            <w:pPr>
              <w:pStyle w:val="SDSTableTextNormal"/>
              <w:rPr>
                <w:noProof w:val="0"/>
              </w:rPr>
            </w:pPr>
            <w:r w:rsidR="00066C34">
              <w:rPr>
                <w:noProof/>
              </w:rPr>
              <w:t>78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1,2-Propanediol (57-55-6)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51600 mg/l (Exposure time: 96 h - Species: Oncorhynchus mykiss [static] Source: IUCLID)</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41 – 47 ml/l (Exposure time: 96 h - Species: Oncorhynchus mykiss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&gt; 1000 mg/l (Exposure time: 48 h - Species: Daphnia magna [Static])</w:t>
            </w:r>
          </w:p>
        </w:tc>
      </w:tr>
      <w:tr w14:paraId="3112BB70" w14:textId="77777777" w:rsidTr="00E85368">
        <w:tblPrEx>
          <w:tblW w:w="10489" w:type="dxa"/>
          <w:tblLayout w:type="fixed"/>
          <w:tblLook w:val="04A0"/>
        </w:tblPrEx>
        <w:tc>
          <w:tcPr>
            <w:tcW w:w="3969" w:type="dxa"/>
          </w:tcPr>
          <w:p w:rsidR="00827634" w:rsidRPr="00E158AE" w:rsidP="009B0F88" w14:textId="56866EF7">
            <w:pPr>
              <w:pStyle w:val="SDSTableTextNormal"/>
              <w:rPr>
                <w:noProof w:val="0"/>
              </w:rPr>
            </w:pPr>
            <w:r w:rsidR="00066C34">
              <w:rPr>
                <w:noProof/>
              </w:rPr>
              <w:t>EC50 96h - Algae [1]</w:t>
            </w:r>
          </w:p>
        </w:tc>
        <w:tc>
          <w:tcPr>
            <w:tcW w:w="6520" w:type="dxa"/>
          </w:tcPr>
          <w:p w:rsidR="00827634" w:rsidRPr="00E158AE" w:rsidP="009B0F88" w14:textId="2EA0BDE9">
            <w:pPr>
              <w:pStyle w:val="SDSTableTextNormal"/>
              <w:rPr>
                <w:noProof w:val="0"/>
              </w:rPr>
            </w:pPr>
            <w:r w:rsidR="00066C34">
              <w:rPr>
                <w:noProof/>
              </w:rPr>
              <w:t>19000 mg/l (Species: Pseudokirchneriella subcapitata)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CHOCOLATE ORANGE COOKIE #EU46508F 25%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Hexyl cinnamic aldehyde (101-86-0)</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Orange oil  (8008-57-9)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Ethyl vanillin (121-32-4)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1,3,4,6,7,8-hexahydro-4,6,6,7,8,8-hexamethylindeno[5,6-c]pyran, galaxolide, (HHCB) (1222-05-5)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alcohol (100-51-6)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CINNAMAL (104-55-2)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Linalyl acetate (115-95-7)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 xml:space="preserve"> (104-21-2)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citral (5392-40-5)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Cashmeran (33704-61-9)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Heliotropine (120-57-0)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Isovaleraldehyde (590-86-3)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1,2-Propanediol (57-55-6)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3(2H)-Furanone, 4-hydroxy-2,5-dimethyl- (3658-77-3)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CHOCOLATE ORANGE COOKIE #EU46508F 25%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vanillin (121-32-4)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1.61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1,3,4,6,7,8-hexahydro-4,6,6,7,8,8-hexamethylindeno[5,6-c]pyran, galaxolide, (HHCB)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alcohol (100-51-6)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1.05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CINNAMAL (104-55-2)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2.1065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Linalyl acetate (115-95-7)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 xml:space="preserve"> (104-21-2)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 (at 35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citral (5392-40-5)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Cashmeran (33704-61-9)</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(81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4.2 (at 20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Heliotropine (120-57-0)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1.2 (at 35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Isovaleraldehyde (590-86-3)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1.5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1,2-Propanediol (57-55-6)</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(1 dimensionless)</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Pr="00E158AE">
              <w:rPr>
                <w:noProof/>
              </w:rPr>
              <w:t>-1.07 (at 20.5 °C (at pH &gt;=6.2-&lt;=6.4)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3(2H)-Furanone, 4-hydroxy-2,5-dimethyl- (3658-77-3)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0.95 (at 20 °C (at pH 2.5)</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HP4 - “Irritant – skin irritation and eye damage:” waste which on application can cause skin irritation or damage to the eye.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Orange oil  ; Isovaleraldehyde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CHOCOLATE ORANGE COOKIE #EU46508F 25% in DPG ; Hexyl cinnamic aldehyde ; Orange oil  ; benzyl alcohol ; CINNAMAL ; Linalyl acetate ;  ; citral ; Cashmeran ; Isovaleraldehyde ; 3(2H)-Furanone, 4-hydroxy-2,5-dimethyl-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CHOCOLATE ORANGE COOKIE #EU46508F 25% in DPG ; Hexyl cinnamic aldehyde ; Orange oil  ; 1,3,4,6,7,8-hexahydro-4,6,6,7,8,8-hexamethylindeno[5,6-c]pyran, galaxolide, (HHCB) ; CINNAMAL ; Cashmeran ; Isovaleraldehyde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Orange oil  ; Isovaleraldehyde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5C557D">
        <w:tblPrEx>
          <w:tblW w:w="10490" w:type="dxa"/>
          <w:tblLayout w:type="fixed"/>
          <w:tblLook w:val="04A0"/>
        </w:tblPrEx>
        <w:trPr>
          <w:tblHeader/>
        </w:trPr>
        <w:tc>
          <w:tcPr>
            <w:tcW w:w="2267" w:type="dxa"/>
          </w:tcPr>
          <w:p w:rsidR="00A65092" w:rsidRPr="00E158AE" w:rsidP="005C557D" w14:paraId="0D104D90" w14:textId="69A05CEC">
            <w:pPr>
              <w:pStyle w:val="SDSTableTextHeading1"/>
              <w:rPr>
                <w:noProof w:val="0"/>
              </w:rPr>
            </w:pPr>
            <w:r w:rsidR="00066C34">
              <w:rPr>
                <w:noProof/>
              </w:rPr>
              <w:t>Name</w:t>
            </w:r>
          </w:p>
        </w:tc>
        <w:tc>
          <w:tcPr>
            <w:tcW w:w="1275" w:type="dxa"/>
          </w:tcPr>
          <w:p w:rsidR="00A65092" w:rsidRPr="00E158AE" w:rsidP="005C557D" w14:paraId="457C5252" w14:textId="470329CD">
            <w:pPr>
              <w:pStyle w:val="SDSTableTextHeading1"/>
              <w:rPr>
                <w:noProof w:val="0"/>
              </w:rPr>
            </w:pPr>
            <w:r w:rsidR="00066C34">
              <w:rPr>
                <w:noProof/>
              </w:rPr>
              <w:t>CN designation</w:t>
            </w:r>
          </w:p>
        </w:tc>
        <w:tc>
          <w:tcPr>
            <w:tcW w:w="1276" w:type="dxa"/>
          </w:tcPr>
          <w:p w:rsidR="00A65092" w:rsidRPr="00E158AE" w:rsidP="005C557D" w14:paraId="4D6EF8CB" w14:textId="4B9CE323">
            <w:pPr>
              <w:pStyle w:val="SDSTableTextHeading1"/>
              <w:rPr>
                <w:noProof w:val="0"/>
              </w:rPr>
            </w:pPr>
            <w:r w:rsidR="00066C34">
              <w:rPr>
                <w:noProof/>
              </w:rPr>
              <w:t>CAS-No.</w:t>
            </w:r>
          </w:p>
        </w:tc>
        <w:tc>
          <w:tcPr>
            <w:tcW w:w="1418" w:type="dxa"/>
          </w:tcPr>
          <w:p w:rsidR="00A65092" w:rsidRPr="00E158AE" w:rsidP="005C557D" w14:paraId="354B57E4" w14:textId="6492BE96">
            <w:pPr>
              <w:pStyle w:val="SDSTableTextHeading1"/>
              <w:rPr>
                <w:noProof w:val="0"/>
              </w:rPr>
            </w:pPr>
            <w:r w:rsidR="00066C34">
              <w:rPr>
                <w:noProof/>
              </w:rPr>
              <w:t>CN code</w:t>
            </w:r>
          </w:p>
        </w:tc>
        <w:tc>
          <w:tcPr>
            <w:tcW w:w="1418" w:type="dxa"/>
          </w:tcPr>
          <w:p w:rsidR="00E96366" w:rsidP="00E96366" w14:paraId="53D256F7" w14:textId="77777777">
            <w:pPr>
              <w:pStyle w:val="SDSTableTextHeading1"/>
              <w:rPr>
                <w:noProof w:val="0"/>
              </w:rPr>
            </w:pPr>
            <w:r>
              <w:rPr>
                <w:noProof/>
              </w:rPr>
              <w:t>Category,</w:t>
            </w:r>
          </w:p>
          <w:p w:rsidR="00A65092" w:rsidRPr="00E158AE" w:rsidP="00E96366" w14:paraId="26779EFF" w14:textId="475F13A1">
            <w:pPr>
              <w:pStyle w:val="SDSTableTextHeading1"/>
              <w:rPr>
                <w:noProof w:val="0"/>
              </w:rPr>
            </w:pPr>
            <w:r>
              <w:rPr>
                <w:noProof/>
              </w:rPr>
              <w:t>Subcategory</w:t>
            </w:r>
          </w:p>
        </w:tc>
        <w:tc>
          <w:tcPr>
            <w:tcW w:w="1418" w:type="dxa"/>
          </w:tcPr>
          <w:p w:rsidR="00A65092" w:rsidRPr="00E158AE" w:rsidP="005C557D" w14:paraId="561B55F5" w14:textId="71B0D465">
            <w:pPr>
              <w:pStyle w:val="SDSTableTextHeading1"/>
              <w:rPr>
                <w:noProof w:val="0"/>
              </w:rPr>
            </w:pPr>
            <w:r w:rsidR="00066C34">
              <w:rPr>
                <w:noProof/>
              </w:rPr>
              <w:t>Threshold</w:t>
            </w:r>
          </w:p>
        </w:tc>
        <w:tc>
          <w:tcPr>
            <w:tcW w:w="1418" w:type="dxa"/>
          </w:tcPr>
          <w:p w:rsidR="00A65092" w:rsidRPr="00E158AE" w:rsidP="005C557D" w14:paraId="71BD701E" w14:textId="0CC50E93">
            <w:pPr>
              <w:pStyle w:val="SDSTableTextHeading1"/>
              <w:rPr>
                <w:noProof w:val="0"/>
              </w:rPr>
            </w:pPr>
            <w:r w:rsidR="00066C34">
              <w:rPr>
                <w:noProof/>
              </w:rPr>
              <w:t>Annex</w:t>
            </w:r>
          </w:p>
        </w:tc>
      </w:tr>
      <w:tr w14:paraId="23D538E0" w14:textId="77777777" w:rsidTr="005C557D">
        <w:tblPrEx>
          <w:tblW w:w="10490" w:type="dxa"/>
          <w:tblLayout w:type="fixed"/>
          <w:tblLook w:val="04A0"/>
        </w:tblPrEx>
        <w:tc>
          <w:tcPr>
            <w:tcW w:w="2267" w:type="dxa"/>
          </w:tcPr>
          <w:p w:rsidR="00A65092" w:rsidRPr="00E158AE" w:rsidP="005C557D" w14:paraId="4073E40F" w14:textId="74868EF3">
            <w:pPr>
              <w:pStyle w:val="SDSTableTextNormal"/>
              <w:rPr>
                <w:noProof w:val="0"/>
              </w:rPr>
            </w:pPr>
            <w:r w:rsidR="00066C34">
              <w:rPr>
                <w:noProof/>
              </w:rPr>
              <w:t>Piperonal</w:t>
            </w:r>
          </w:p>
        </w:tc>
        <w:tc>
          <w:tcPr>
            <w:tcW w:w="1275" w:type="dxa"/>
          </w:tcPr>
          <w:p w:rsidR="00A65092" w:rsidRPr="00E158AE" w:rsidP="005C557D" w14:paraId="3900E007" w14:textId="7C2B156D">
            <w:pPr>
              <w:pStyle w:val="SDSTableTextNormal"/>
              <w:rPr>
                <w:noProof w:val="0"/>
              </w:rPr>
            </w:pPr>
          </w:p>
        </w:tc>
        <w:tc>
          <w:tcPr>
            <w:tcW w:w="1276" w:type="dxa"/>
          </w:tcPr>
          <w:p w:rsidR="00A65092" w:rsidRPr="00E158AE" w:rsidP="005C557D" w14:paraId="719F3871" w14:textId="19DD2D4C">
            <w:pPr>
              <w:pStyle w:val="SDSTableTextNormal"/>
              <w:rPr>
                <w:noProof w:val="0"/>
              </w:rPr>
            </w:pPr>
            <w:r w:rsidR="00066C34">
              <w:rPr>
                <w:noProof/>
              </w:rPr>
              <w:t>120-57-0</w:t>
            </w:r>
          </w:p>
        </w:tc>
        <w:tc>
          <w:tcPr>
            <w:tcW w:w="1418" w:type="dxa"/>
          </w:tcPr>
          <w:p w:rsidR="00A65092" w:rsidRPr="00E158AE" w:rsidP="005C557D" w14:paraId="04454755" w14:textId="10FBDA17">
            <w:pPr>
              <w:pStyle w:val="SDSTableTextNormal"/>
              <w:rPr>
                <w:noProof w:val="0"/>
              </w:rPr>
            </w:pPr>
            <w:r w:rsidR="00066C34">
              <w:rPr>
                <w:noProof/>
              </w:rPr>
              <w:t>2932 93 00</w:t>
            </w:r>
          </w:p>
        </w:tc>
        <w:tc>
          <w:tcPr>
            <w:tcW w:w="1418" w:type="dxa"/>
          </w:tcPr>
          <w:p w:rsidR="00A65092" w:rsidRPr="00E158AE" w:rsidP="005C557D" w14:paraId="70CE3A27" w14:textId="0B7AECC5">
            <w:pPr>
              <w:pStyle w:val="SDSTableTextNormal"/>
              <w:rPr>
                <w:noProof w:val="0"/>
              </w:rPr>
            </w:pPr>
            <w:r w:rsidR="00066C34">
              <w:rPr>
                <w:noProof/>
              </w:rPr>
              <w:t>Category 1</w:t>
            </w:r>
          </w:p>
        </w:tc>
        <w:tc>
          <w:tcPr>
            <w:tcW w:w="1418" w:type="dxa"/>
          </w:tcPr>
          <w:p w:rsidR="00A65092" w:rsidRPr="00E158AE" w:rsidP="005C557D" w14:paraId="3299E5CD" w14:textId="606B67A9">
            <w:pPr>
              <w:pStyle w:val="SDSTableTextNormal"/>
              <w:rPr>
                <w:noProof w:val="0"/>
              </w:rPr>
            </w:pPr>
          </w:p>
        </w:tc>
        <w:tc>
          <w:tcPr>
            <w:tcW w:w="1418" w:type="dxa"/>
          </w:tcPr>
          <w:p w:rsidR="00A65092" w:rsidRPr="00E158AE" w:rsidP="005C557D" w14:paraId="5511B839" w14:textId="3C7525E7">
            <w:pPr>
              <w:pStyle w:val="SDSTableTextNormal"/>
              <w:rPr>
                <w:noProof w:val="0"/>
              </w:rPr>
            </w:pPr>
            <w:r w:rsidR="00066C34">
              <w:rPr>
                <w:noProof/>
              </w:rPr>
              <w:t>Annex I</w:t>
            </w:r>
          </w:p>
        </w:tc>
      </w:tr>
    </w:tbl>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Professional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84</w:t>
                  </w:r>
                </w:p>
              </w:tc>
              <w:tc>
                <w:tcPr>
                  <w:tcW w:w="8506" w:type="dxa"/>
                </w:tcPr>
                <w:p w:rsidR="00A65092" w:rsidRPr="00E158AE" w:rsidP="005C557D" w14:paraId="2CB660E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 hazardous to water (Classification according to AwSV, Annex 1).</w:t>
            </w:r>
          </w:p>
        </w:tc>
      </w:tr>
      <w:tr w14:paraId="4C4B885B" w14:textId="77777777" w:rsidTr="00917B0A">
        <w:tblPrEx>
          <w:tblW w:w="10491" w:type="dxa"/>
          <w:tblLayout w:type="fixed"/>
          <w:tblLook w:val="04A0"/>
        </w:tblPrEx>
        <w:trPr>
          <w:trHeight w:val="20"/>
        </w:trPr>
        <w:tc>
          <w:tcPr>
            <w:tcW w:w="3686" w:type="dxa"/>
          </w:tcPr>
          <w:p w:rsidR="00A65092" w:rsidP="005C557D" w14:paraId="22083A8D" w14:textId="7E143691">
            <w:pPr>
              <w:pStyle w:val="SDSTableTextNormal"/>
              <w:rPr>
                <w:noProof w:val="0"/>
              </w:rPr>
            </w:pPr>
            <w:r w:rsidR="00066C34">
              <w:rPr>
                <w:noProof/>
              </w:rPr>
              <w:t>List of sensitizing substances (TRGS 907)</w:t>
            </w:r>
          </w:p>
        </w:tc>
        <w:tc>
          <w:tcPr>
            <w:tcW w:w="284" w:type="dxa"/>
          </w:tcPr>
          <w:p w:rsidR="00A65092" w:rsidP="005C557D" w14:paraId="30BB04E5" w14:textId="77777777">
            <w:pPr>
              <w:pStyle w:val="SDSTableTextColonColumn"/>
              <w:rPr>
                <w:noProof w:val="0"/>
              </w:rPr>
            </w:pPr>
            <w:r>
              <w:rPr>
                <w:noProof w:val="0"/>
              </w:rPr>
              <w:t>:</w:t>
            </w:r>
          </w:p>
        </w:tc>
        <w:tc>
          <w:tcPr>
            <w:tcW w:w="6521" w:type="dxa"/>
          </w:tcPr>
          <w:p w:rsidR="00A65092" w:rsidRPr="00560675" w:rsidP="005C557D"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Orange oil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Orange oil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EUH-phrases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w:t>
            </w:r>
          </w:p>
        </w:tc>
        <w:tc>
          <w:tcPr>
            <w:tcW w:w="8504" w:type="dxa"/>
          </w:tcPr>
          <w:p w:rsidR="00827634" w:rsidRPr="00E158AE" w:rsidP="009B0F88" w14:textId="59C420F9">
            <w:pPr>
              <w:pStyle w:val="SDSTableTextNormal"/>
              <w:rPr>
                <w:noProof w:val="0"/>
              </w:rPr>
            </w:pPr>
            <w:r w:rsidRPr="00E158AE">
              <w:rPr>
                <w:noProof/>
              </w:rPr>
              <w:t>Acute toxicity (inhalation)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H314</w:t>
            </w:r>
          </w:p>
        </w:tc>
        <w:tc>
          <w:tcPr>
            <w:tcW w:w="8504" w:type="dxa"/>
          </w:tcPr>
          <w:p w:rsidR="00827634" w:rsidRPr="00E158AE" w:rsidP="009B0F88" w14:textId="59C420F9">
            <w:pPr>
              <w:pStyle w:val="SDSTableTextNormal"/>
              <w:rPr>
                <w:noProof w:val="0"/>
              </w:rPr>
            </w:pPr>
            <w:r w:rsidRPr="00E158AE">
              <w:rPr>
                <w:noProof/>
              </w:rPr>
              <w:t>Causes severe skin burns and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H335</w:t>
            </w:r>
          </w:p>
        </w:tc>
        <w:tc>
          <w:tcPr>
            <w:tcW w:w="8504" w:type="dxa"/>
          </w:tcPr>
          <w:p w:rsidR="00827634" w:rsidRPr="00E158AE" w:rsidP="009B0F88" w14:textId="59C420F9">
            <w:pPr>
              <w:pStyle w:val="SDSTableTextNormal"/>
              <w:rPr>
                <w:noProof w:val="0"/>
              </w:rPr>
            </w:pPr>
            <w:r w:rsidRPr="00E158AE">
              <w:rPr>
                <w:noProof/>
              </w:rPr>
              <w:t>May cause respiratory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H373</w:t>
            </w:r>
          </w:p>
        </w:tc>
        <w:tc>
          <w:tcPr>
            <w:tcW w:w="8504" w:type="dxa"/>
          </w:tcPr>
          <w:p w:rsidR="00827634" w:rsidRPr="00E158AE" w:rsidP="009B0F88" w14:textId="59C420F9">
            <w:pPr>
              <w:pStyle w:val="SDSTableTextNormal"/>
              <w:rPr>
                <w:noProof w:val="0"/>
              </w:rPr>
            </w:pPr>
            <w:r w:rsidRPr="00E158AE">
              <w:rPr>
                <w:noProof/>
              </w:rPr>
              <w:t>May cause damage to organs through prolonged or repeated exposure.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1B</w:t>
            </w:r>
          </w:p>
        </w:tc>
        <w:tc>
          <w:tcPr>
            <w:tcW w:w="8504" w:type="dxa"/>
          </w:tcPr>
          <w:p w:rsidR="00827634" w:rsidRPr="00E158AE" w:rsidP="009B0F88" w14:textId="59C420F9">
            <w:pPr>
              <w:pStyle w:val="SDSTableTextNormal"/>
              <w:rPr>
                <w:noProof w:val="0"/>
              </w:rPr>
            </w:pPr>
            <w:r w:rsidRPr="00E158AE">
              <w:rPr>
                <w:noProof/>
              </w:rPr>
              <w:t>Skin corrosion/irritation, Category 1, Sub-Category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sensitization,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1A</w:t>
            </w:r>
          </w:p>
        </w:tc>
        <w:tc>
          <w:tcPr>
            <w:tcW w:w="8504" w:type="dxa"/>
          </w:tcPr>
          <w:p w:rsidR="00827634" w:rsidRPr="00E158AE" w:rsidP="009B0F88" w14:textId="59C420F9">
            <w:pPr>
              <w:pStyle w:val="SDSTableTextNormal"/>
              <w:rPr>
                <w:noProof w:val="0"/>
              </w:rPr>
            </w:pPr>
            <w:r w:rsidRPr="00E158AE">
              <w:rPr>
                <w:noProof/>
              </w:rPr>
              <w:t>Skin sensitization, Category 1A</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sensitization,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RE 2</w:t>
            </w:r>
          </w:p>
        </w:tc>
        <w:tc>
          <w:tcPr>
            <w:tcW w:w="8504" w:type="dxa"/>
          </w:tcPr>
          <w:p w:rsidR="00827634" w:rsidRPr="00E158AE" w:rsidP="009B0F88" w14:textId="59C420F9">
            <w:pPr>
              <w:pStyle w:val="SDSTableTextNormal"/>
              <w:rPr>
                <w:noProof w:val="0"/>
              </w:rPr>
            </w:pPr>
            <w:r w:rsidRPr="00E158AE">
              <w:rPr>
                <w:noProof/>
              </w:rPr>
              <w:t>Specific target organ toxicity – Repeated exposure,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Respiratory tract irritation</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r>
            <w:rPr>
              <w:noProof/>
            </w:rPr>
            <w:t>9/25/2024 (Issue date)</w:t>
          </w: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 US)</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18</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r>
            <w:rPr>
              <w:noProof/>
            </w:rPr>
            <w:t>9/25/2024 (Issue date)</w:t>
          </w: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 US)</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18</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CHOCOLATE ORANGE COOKIE #EU46508F 25%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CHOCOLATE ORANGE COOKIE #EU46508F 25%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p w:rsidR="00CB352E" w:rsidRPr="008F5B08" w:rsidP="00FD6B1D" w14:paraId="26293D9C" w14:textId="77777777">
          <w:pPr>
            <w:pStyle w:val="SDSTableTextHeader"/>
          </w:pPr>
          <w:r>
            <w:rPr>
              <w:noProof/>
            </w:rPr>
            <w:t>Issue date: 9/25/2024   Version: 1.0</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04BD"/>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2A72CD86-B9D1-4740-B79D-653F62B60655}"/>
</file>

<file path=customXml/itemProps3.xml><?xml version="1.0" encoding="utf-8"?>
<ds:datastoreItem xmlns:ds="http://schemas.openxmlformats.org/officeDocument/2006/customXml" ds:itemID="{B0B20AF0-7BFA-4603-8ABB-410610371713}"/>
</file>

<file path=customXml/itemProps4.xml><?xml version="1.0" encoding="utf-8"?>
<ds:datastoreItem xmlns:ds="http://schemas.openxmlformats.org/officeDocument/2006/customXml" ds:itemID="{2FCE05BD-9B20-4EE4-A161-75DDB32D20C4}"/>
</file>

<file path=docProps/app.xml><?xml version="1.0" encoding="utf-8"?>
<Properties xmlns="http://schemas.openxmlformats.org/officeDocument/2006/extended-properties" xmlns:vt="http://schemas.openxmlformats.org/officeDocument/2006/docPropsVTypes">
  <Template>Normal.dotm</Template>
  <TotalTime>12</TotalTime>
  <Pages>18</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