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ACAI BERRY BOOST #EU55090F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EU55090F_5%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Hexyl cinnamic aldehyde, Linalool, CUPRESSUS FUNEBRIS WOOD OIL, Linalyl acetate, d-Limonene, Citral.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paraId="15AF5E6F" w14:textId="5180E34A">
            <w:pPr>
              <w:pStyle w:val="SDSTableTextNormal"/>
              <w:rPr>
                <w:noProof w:val="0"/>
              </w:rPr>
            </w:pPr>
            <w:r w:rsidR="00066C34">
              <w:rPr>
                <w:noProof/>
              </w:rPr>
              <w:t>0.19 – 0.375</w:t>
            </w:r>
          </w:p>
        </w:tc>
        <w:tc>
          <w:tcPr>
            <w:tcW w:w="3118" w:type="dxa"/>
          </w:tcPr>
          <w:p w:rsidR="00827634" w:rsidRPr="00E158AE" w:rsidP="009B0F88" w14:paraId="03C690C9"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0.165 – 0.325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 – 0.195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60F6CE2E">
            <w:pPr>
              <w:pStyle w:val="SDSTableTextNormal"/>
              <w:rPr>
                <w:noProof w:val="0"/>
              </w:rPr>
            </w:pPr>
            <w:r w:rsidRPr="00E158AE">
              <w:rPr>
                <w:noProof/>
              </w:rPr>
              <w:t>Skin Corr.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0.065 – 0.125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0.055 – 0.11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0.005 – 0.012475</w:t>
            </w:r>
          </w:p>
        </w:tc>
        <w:tc>
          <w:tcPr>
            <w:tcW w:w="3118" w:type="dxa"/>
          </w:tcPr>
          <w:p w:rsidR="00827634" w:rsidRPr="00E158AE" w:rsidP="009B0F88" w14:textId="60F6CE2E">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0.005 – 0.01235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0.00224</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 0.001125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 0.00093</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0.00056</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 0.000075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0.00003</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CAFFEINE</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58-08-2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200-362-1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613-086-00-5</w:t>
            </w:r>
          </w:p>
        </w:tc>
        <w:tc>
          <w:tcPr>
            <w:tcW w:w="1134" w:type="dxa"/>
          </w:tcPr>
          <w:p w:rsidR="00827634" w:rsidRPr="00E158AE" w:rsidP="009B0F88" w14:textId="5180E34A">
            <w:pPr>
              <w:pStyle w:val="SDSTableTextNormal"/>
              <w:rPr>
                <w:noProof w:val="0"/>
              </w:rPr>
            </w:pPr>
            <w:r w:rsidR="00066C34">
              <w:rPr>
                <w:noProof/>
              </w:rPr>
              <w:t>0 – 0.000015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60F6CE2E">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CAFFEINE</w:t>
            </w:r>
            <w:r w:rsidRPr="00E158AE">
              <w:rPr>
                <w:noProof w:val="0"/>
              </w:rPr>
              <w:t xml:space="preserve"> </w:t>
            </w:r>
            <w:r w:rsidRPr="00E158AE" w:rsidR="00FD53E4">
              <w:rPr>
                <w:noProof/>
              </w:rPr>
              <w:t>(58-08-2)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0.5 mg/m³ (base)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CAFFEINE (58-08-2)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367.7 mg/kg (Source: OECD_SIDS)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370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4.94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CAFFEINE (58-08-2)</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CAFFEINE (58-08-2)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151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ACAI BERRY BOOST #EU55090F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ACAI BERRY BOOST #EU55090F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CAFFEINE (58-08-2)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-0.091 (at 23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d-Limonene ; Ethyl alcohol ; .alpha.-Pinene ; .beta.-Pinene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Iso E Super ; Hexyl cinnamic aldehyde ; Linalool ; CUPRESSUS FUNEBRIS WOOD OIL ; Linalyl acetate ; d-Limonene ; Citral ; Caproic acid ; CAFFEINE ; Butyric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ACAI BERRY BOOST #EU55090F 5% ; Benzyl acetate ; Iso E Super ; Hexyl cinnamic aldehyde ; CUPRESSUS FUNEBRIS WOOD OIL ; Hexamethylindanopyran ; d-Limonene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d-Limonene ; Ethyl alcohol ; .alpha.-Pinene ; .beta.-Pinene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Pr="00E158AE">
              <w:rPr>
                <w:noProof/>
              </w:rPr>
              <w:t>CUPRESSUS FUNEBRIS WOOD OIL,Ethyl alcohol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CUPRESSUS FUNEBRIS WOOD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Hexyl cinnamic aldehyde, Linalool, CUPRESSUS FUNEBRIS WOOD OIL, Linalyl acetate, d-Limonene, Citral.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ACAI BERRY BOOST #EU55090F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ACAI BERRY BOOST #EU55090F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8CF0390-9B88-41D1-8E9A-B69986D54AB2}"/>
</file>

<file path=customXml/itemProps3.xml><?xml version="1.0" encoding="utf-8"?>
<ds:datastoreItem xmlns:ds="http://schemas.openxmlformats.org/officeDocument/2006/customXml" ds:itemID="{BAA7581A-16EA-4A2C-9B7E-47F46041A5F5}"/>
</file>

<file path=customXml/itemProps4.xml><?xml version="1.0" encoding="utf-8"?>
<ds:datastoreItem xmlns:ds="http://schemas.openxmlformats.org/officeDocument/2006/customXml" ds:itemID="{FF158438-F666-447E-BF64-DC0C401FD14B}"/>
</file>

<file path=docProps/app.xml><?xml version="1.0" encoding="utf-8"?>
<Properties xmlns="http://schemas.openxmlformats.org/officeDocument/2006/extended-properties" xmlns:vt="http://schemas.openxmlformats.org/officeDocument/2006/docPropsVTypes">
  <Template>Normal.dotm</Template>
  <TotalTime>39</TotalTime>
  <Pages>28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