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CRISP COTTON BREEZE #EU55155F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EU55155F_10%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Vertenex; Hexyl cinnamic aldehyde; Linalool; Hexyl salicylate; Citrus medica limonum (Lemon) peel oil ; Linalyl acetate; Cyclamal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2-methylpentane-2,4-diol</w:t>
            </w:r>
          </w:p>
          <w:p w:rsidR="00827634" w:rsidRPr="00E158AE" w:rsidP="009B0F88" w14:paraId="147D3D58" w14:textId="35534033">
            <w:pPr>
              <w:pStyle w:val="SDSTableTextNormal"/>
              <w:rPr>
                <w:noProof w:val="0"/>
              </w:rPr>
            </w:pPr>
            <w:r w:rsidRPr="00E158AE">
              <w:rPr>
                <w:noProof/>
              </w:rPr>
              <w:t>substance with national workplace exposure limit(s) (AT, BE, DK, ES, FI, FR, GB, GR, HR, IE, LT, PL, PT, SE, NO, CH)</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107-41-5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203-489-0</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603-053-00-3</w:t>
            </w:r>
          </w:p>
        </w:tc>
        <w:tc>
          <w:tcPr>
            <w:tcW w:w="1134" w:type="dxa"/>
          </w:tcPr>
          <w:p w:rsidR="00827634" w:rsidRPr="00E158AE" w:rsidP="009B0F88" w14:paraId="15AF5E6F" w14:textId="5180E34A">
            <w:pPr>
              <w:pStyle w:val="SDSTableTextNormal"/>
              <w:rPr>
                <w:noProof w:val="0"/>
              </w:rPr>
            </w:pPr>
            <w:r w:rsidR="00066C34">
              <w:rPr>
                <w:noProof/>
              </w:rPr>
              <w:t>1.96 – 3.925</w:t>
            </w:r>
          </w:p>
        </w:tc>
        <w:tc>
          <w:tcPr>
            <w:tcW w:w="3118" w:type="dxa"/>
          </w:tcPr>
          <w:p w:rsidR="00827634" w:rsidRPr="00E158AE" w:rsidP="009B0F88" w14:paraId="03C690C9" w14:textId="7E488380">
            <w:pPr>
              <w:pStyle w:val="SDSTableTextNormal"/>
              <w:rPr>
                <w:noProof w:val="0"/>
              </w:rPr>
            </w:pPr>
            <w:r w:rsidRPr="00E158AE">
              <w:rPr>
                <w:noProof/>
              </w:rP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Vertenex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textId="5180E34A">
            <w:pPr>
              <w:pStyle w:val="SDSTableTextNormal"/>
              <w:rPr>
                <w:noProof w:val="0"/>
              </w:rPr>
            </w:pPr>
            <w:r w:rsidR="00066C34">
              <w:rPr>
                <w:noProof/>
              </w:rPr>
              <w:t>0.7 – 1.4</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0.4 – 0.8</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0.3 – 0.6</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0.11 – 0.21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0.08 – 0.165</w:t>
            </w:r>
          </w:p>
        </w:tc>
        <w:tc>
          <w:tcPr>
            <w:tcW w:w="3118" w:type="dxa"/>
          </w:tcPr>
          <w:p w:rsidR="00827634" w:rsidRPr="00E158AE" w:rsidP="009B0F88" w14:textId="7E488380">
            <w:pPr>
              <w:pStyle w:val="SDSTableTextNormal"/>
              <w:rPr>
                <w:noProof w:val="0"/>
              </w:rPr>
            </w:pPr>
            <w:r w:rsidRPr="00E158AE">
              <w:rPr>
                <w:noProof/>
              </w:rPr>
              <w:t>Skin Sens. 1B, H317</w:t>
              <w:br/>
              <w:t>Repr. 2, H361d</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0.02 – 0.035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Diphenyl oxide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202-981-2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01-2119472545-33</w:t>
            </w:r>
          </w:p>
        </w:tc>
        <w:tc>
          <w:tcPr>
            <w:tcW w:w="1134" w:type="dxa"/>
          </w:tcPr>
          <w:p w:rsidR="00827634" w:rsidRPr="00E158AE" w:rsidP="009B0F88" w14:textId="5180E34A">
            <w:pPr>
              <w:pStyle w:val="SDSTableTextNormal"/>
              <w:rPr>
                <w:noProof w:val="0"/>
              </w:rPr>
            </w:pPr>
            <w:r w:rsidR="00066C34">
              <w:rPr>
                <w:noProof/>
              </w:rPr>
              <w:t>0 – 0.005</w:t>
            </w:r>
          </w:p>
        </w:tc>
        <w:tc>
          <w:tcPr>
            <w:tcW w:w="3118" w:type="dxa"/>
          </w:tcPr>
          <w:p w:rsidR="00827634" w:rsidRPr="00E158AE" w:rsidP="009B0F88" w14:textId="7E488380">
            <w:pPr>
              <w:pStyle w:val="SDSTableTextNormal"/>
              <w:rPr>
                <w:noProof w:val="0"/>
              </w:rPr>
            </w:pPr>
            <w:r w:rsidRPr="00E158AE">
              <w:rPr>
                <w:noProof/>
              </w:rPr>
              <w:t>Eye Irrit. 2, H319</w:t>
              <w:br/>
              <w:t>Aquatic Acute 1, H400</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2-methylpentane-2,4-diol</w:t>
            </w:r>
            <w:r w:rsidRPr="00E158AE">
              <w:rPr>
                <w:noProof w:val="0"/>
              </w:rPr>
              <w:t xml:space="preserve"> </w:t>
            </w:r>
            <w:r w:rsidRPr="00E158AE" w:rsidR="00FD53E4">
              <w:rPr>
                <w:noProof/>
              </w:rPr>
              <w:t>(107-41-5)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120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 (vapor and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 (vapor and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Takverdi (OEL C)</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Takverdi (OEL C)</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49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98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25 ppm (vapor fraction)</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 mg/m³ (inhalable particulate matter, aerosol only)</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50 ppm (vapor fraction)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Diphenyl oxide</w:t>
            </w:r>
            <w:r w:rsidRPr="00E158AE">
              <w:rPr>
                <w:noProof w:val="0"/>
              </w:rPr>
              <w:t xml:space="preserve"> </w:t>
            </w:r>
            <w:r w:rsidRPr="00E158AE" w:rsidR="00FD53E4">
              <w:rPr>
                <w:noProof/>
              </w:rPr>
              <w:t>(101-84-8)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 ppm (indicative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 (indicative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7.1 mg/m³ (the risk of damage to the embryo or fetus can be excluded when AGW and BGW values are observed-vapor)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(indicative limit value-vapor)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(indicative limit value-vapor)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7.1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14.2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2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2 ppm (vapor fraction)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2-methylpentane-2,4-diol (107-41-5)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12300 mg/kg (Source: NLM_HSDB)</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310 mg/m³ (Exposure time: 1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Diphenyl oxide (101-84-8)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2830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7940 mg/kg (Source: NLM_CIP)</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2-methylpentane-2,4-diol (107-41-5)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10.5 (10500 – 11000) mg/l (Exposure time: 96 h - Species: Pimephales promelas [flow-through])</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10000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2.7 (2700 – 3700)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CRISP COTTON BREEZE #EU55155F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2-methylpentane-2,4-diol (107-41-5)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Vertenex (32210-23-4)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Diphenyl oxide (101-84-8)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CRISP COTTON BREEZE #EU55155F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2-methylpentane-2,4-diol (107-41-5)</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&lt; 0.14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Diphenyl oxide (101-84-8)</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(470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4.21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 xml:space="preserve">Citrus medica limonum (Lemon) peel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CRISP COTTON BREEZE #EU55155F 10% in DPG ; 2-methylpentane-2,4-diol ; Vertenex ; Hexyl cinnamic aldehyde ; Linalool ; Hexyl salicylate ; Citrus medica limonum (Lemon) peel oil  ; Linalyl acetate ; Cyclamal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Benzyl acetate ; Hexyl cinnamic aldehyde ; Hexyl salicylate ; Citrus medica limonum (Lemon) peel oil  ; Cyclamal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Citrus medica limonum (Lemon) peel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12/3/2024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12/3/2024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CRISP COTTON BREEZE #EU55155F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CRISP COTTON BREEZE #EU55155F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12/3/2024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1E4F135-F5B6-43ED-8651-F2B6743EF222}"/>
</file>

<file path=customXml/itemProps3.xml><?xml version="1.0" encoding="utf-8"?>
<ds:datastoreItem xmlns:ds="http://schemas.openxmlformats.org/officeDocument/2006/customXml" ds:itemID="{10E59AA3-885C-4E2A-9CBB-C899CC134C3D}"/>
</file>

<file path=customXml/itemProps4.xml><?xml version="1.0" encoding="utf-8"?>
<ds:datastoreItem xmlns:ds="http://schemas.openxmlformats.org/officeDocument/2006/customXml" ds:itemID="{C498CBF3-CE17-463F-8789-565779FFA18D}"/>
</file>

<file path=docProps/app.xml><?xml version="1.0" encoding="utf-8"?>
<Properties xmlns="http://schemas.openxmlformats.org/officeDocument/2006/extended-properties" xmlns:vt="http://schemas.openxmlformats.org/officeDocument/2006/docPropsVTypes">
  <Template>Normal.dotm</Template>
  <TotalTime>12</TotalTime>
  <Pages>20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