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CRISP COTTON BREEZE #EU55155F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EU55155F_5%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Vertenex, Hexyl cinnamic aldehyde, Linalool.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2-methylpentane-2,4-diol</w:t>
            </w:r>
          </w:p>
          <w:p w:rsidR="00827634" w:rsidRPr="00E158AE" w:rsidP="009B0F88" w14:paraId="147D3D58" w14:textId="35534033">
            <w:pPr>
              <w:pStyle w:val="SDSTableTextNormal"/>
              <w:rPr>
                <w:noProof w:val="0"/>
              </w:rPr>
            </w:pPr>
            <w:r w:rsidRPr="00E158AE">
              <w:rPr>
                <w:noProof/>
              </w:rPr>
              <w:t>substance with national workplace exposure limit(s) (AT, BE, DK, ES, FI, FR, GB, GR, HR, IE, LT, PL, PT, SE, NO, CH)</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107-41-5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203-489-0</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603-053-00-3</w:t>
            </w:r>
          </w:p>
        </w:tc>
        <w:tc>
          <w:tcPr>
            <w:tcW w:w="1134" w:type="dxa"/>
          </w:tcPr>
          <w:p w:rsidR="00827634" w:rsidRPr="00E158AE" w:rsidP="009B0F88" w14:paraId="15AF5E6F" w14:textId="5180E34A">
            <w:pPr>
              <w:pStyle w:val="SDSTableTextNormal"/>
              <w:rPr>
                <w:noProof w:val="0"/>
              </w:rPr>
            </w:pPr>
            <w:r w:rsidR="00066C34">
              <w:rPr>
                <w:noProof/>
              </w:rPr>
              <w:t>0.98 – 1.9625</w:t>
            </w:r>
          </w:p>
        </w:tc>
        <w:tc>
          <w:tcPr>
            <w:tcW w:w="3118" w:type="dxa"/>
          </w:tcPr>
          <w:p w:rsidR="00827634" w:rsidRPr="00E158AE" w:rsidP="009B0F88" w14:paraId="03C690C9" w14:textId="7E488380">
            <w:pPr>
              <w:pStyle w:val="SDSTableTextNormal"/>
              <w:rPr>
                <w:noProof w:val="0"/>
              </w:rPr>
            </w:pPr>
            <w:r w:rsidRPr="00E158AE">
              <w:rPr>
                <w:noProof/>
              </w:rP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Vertenex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32210-23-4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250-954-9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01-2119976286-24</w:t>
            </w:r>
          </w:p>
        </w:tc>
        <w:tc>
          <w:tcPr>
            <w:tcW w:w="1134" w:type="dxa"/>
          </w:tcPr>
          <w:p w:rsidR="00827634" w:rsidRPr="00E158AE" w:rsidP="009B0F88" w14:textId="5180E34A">
            <w:pPr>
              <w:pStyle w:val="SDSTableTextNormal"/>
              <w:rPr>
                <w:noProof w:val="0"/>
              </w:rPr>
            </w:pPr>
            <w:r w:rsidR="00066C34">
              <w:rPr>
                <w:noProof/>
              </w:rPr>
              <w:t>0.35 – 0.7</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0.055 – 0.105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2-methylpentane-2,4-diol</w:t>
            </w:r>
            <w:r w:rsidRPr="00E158AE">
              <w:rPr>
                <w:noProof w:val="0"/>
              </w:rPr>
              <w:t xml:space="preserve"> </w:t>
            </w:r>
            <w:r w:rsidRPr="00E158AE" w:rsidR="00FD53E4">
              <w:rPr>
                <w:noProof/>
              </w:rPr>
              <w:t>(107-41-5)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NRV (OEL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 (vapor and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Takverdi (OEL C)</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Takverdi (OEL C)</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49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98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25 ppm (vapor fraction)</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 mg/m³ (inhalable particulate matter, aerosol only)</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50 ppm (vapor fraction)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2-methylpentane-2,4-diol (107-41-5)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3700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12300 mg/kg (Source: NLM_HSDB)</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310 mg/m³ (Exposure time: 1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Vertenex (32210-23-4)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 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3370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2-methylpentane-2,4-diol (107-41-5)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10.5 (10500 – 11000) mg/l (Exposure time: 96 h - Species: Pimephales promelas [flow-through])</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10000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2.7 (2700 – 3700)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Vertenex (32210-23-4)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8.6 mg/l (Exposure time: 96 h - Species: Cyprinus carpio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CRISP COTTON BREEZE #EU55155F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2-methylpentane-2,4-diol (107-41-5)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Vertenex (32210-23-4)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cinnamic aldehyde (101-86-0)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CRISP COTTON BREEZE #EU55155F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2-methylpentane-2,4-diol (107-41-5)</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&lt; 0.14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Vertenex (32210-23-4)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3(b)</w:t>
            </w:r>
          </w:p>
        </w:tc>
        <w:tc>
          <w:tcPr>
            <w:tcW w:w="946" w:type="pct"/>
          </w:tcPr>
          <w:p w:rsidR="00A65092" w:rsidRPr="00E158AE" w:rsidP="005C557D" w14:paraId="4FFDF545" w14:textId="65E103D2">
            <w:pPr>
              <w:pStyle w:val="SDSTableTextNormal"/>
              <w:rPr>
                <w:noProof w:val="0"/>
              </w:rPr>
            </w:pPr>
            <w:r w:rsidRPr="00E158AE">
              <w:rPr>
                <w:noProof/>
              </w:rPr>
              <w:t>2-methylpentane-2,4-diol ; Vertenex ; Hexyl cinnamic aldehyde ; Linalool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00066C34">
              <w:rPr>
                <w:noProof/>
              </w:rPr>
              <w:t>Hexyl cinnamic aldehyde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Chronic 2</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Vertenex, Hexyl cinnamic aldehyde, Linalool.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12/3/2024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12/3/2024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CRISP COTTON BREEZE #EU55155F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CRISP COTTON BREEZE #EU55155F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12/3/2024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18AD8794-112A-4811-881F-F74D0DD78120}"/>
</file>

<file path=customXml/itemProps3.xml><?xml version="1.0" encoding="utf-8"?>
<ds:datastoreItem xmlns:ds="http://schemas.openxmlformats.org/officeDocument/2006/customXml" ds:itemID="{25D6DDD9-DE12-4D18-A761-88975C471E57}"/>
</file>

<file path=customXml/itemProps4.xml><?xml version="1.0" encoding="utf-8"?>
<ds:datastoreItem xmlns:ds="http://schemas.openxmlformats.org/officeDocument/2006/customXml" ds:itemID="{048E7BB9-8033-4719-9557-A9791881E5B9}"/>
</file>

<file path=docProps/app.xml><?xml version="1.0" encoding="utf-8"?>
<Properties xmlns="http://schemas.openxmlformats.org/officeDocument/2006/extended-properties" xmlns:vt="http://schemas.openxmlformats.org/officeDocument/2006/docPropsVTypes">
  <Template>Normal.dotm</Template>
  <TotalTime>12</TotalTime>
  <Pages>12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